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B312B3" w14:textId="6D76D29E" w:rsidR="00E67A45" w:rsidRPr="000C05AB" w:rsidRDefault="000C05AB" w:rsidP="000C05AB">
      <w:pPr>
        <w:snapToGrid w:val="0"/>
        <w:spacing w:after="240" w:line="360" w:lineRule="auto"/>
        <w:jc w:val="center"/>
        <w:rPr>
          <w:rFonts w:ascii="Arial" w:hAnsi="Arial" w:cs="Arial"/>
          <w:b/>
          <w:bCs/>
          <w:lang w:val="es-ES_tradnl"/>
        </w:rPr>
      </w:pPr>
      <w:r w:rsidRPr="000C05AB">
        <w:rPr>
          <w:rFonts w:ascii="Arial" w:hAnsi="Arial" w:cs="Arial"/>
          <w:b/>
          <w:bCs/>
          <w:lang w:val="es-ES_tradnl"/>
        </w:rPr>
        <w:t>AAEF</w:t>
      </w:r>
    </w:p>
    <w:p w14:paraId="1872BE3F" w14:textId="6A93D79A" w:rsidR="004040E1" w:rsidRDefault="000C05AB" w:rsidP="000C05AB">
      <w:pPr>
        <w:snapToGrid w:val="0"/>
        <w:spacing w:after="240" w:line="360" w:lineRule="auto"/>
        <w:jc w:val="center"/>
        <w:rPr>
          <w:rFonts w:ascii="Arial" w:hAnsi="Arial" w:cs="Arial"/>
          <w:b/>
          <w:bCs/>
          <w:lang w:val="es-ES_tradnl"/>
        </w:rPr>
      </w:pPr>
      <w:r w:rsidRPr="000C05AB">
        <w:rPr>
          <w:rFonts w:ascii="Arial" w:hAnsi="Arial" w:cs="Arial"/>
          <w:b/>
          <w:bCs/>
          <w:lang w:val="es-ES_tradnl"/>
        </w:rPr>
        <w:t>COMISIÓN DE TRIBUTOS LOCALES</w:t>
      </w:r>
    </w:p>
    <w:p w14:paraId="4CEFAA0C" w14:textId="7009C9AD" w:rsidR="000C05AB" w:rsidRPr="000C05AB" w:rsidRDefault="000C05AB" w:rsidP="000C05AB">
      <w:pPr>
        <w:snapToGrid w:val="0"/>
        <w:spacing w:after="240" w:line="360" w:lineRule="auto"/>
        <w:jc w:val="center"/>
        <w:rPr>
          <w:rFonts w:ascii="Arial" w:hAnsi="Arial" w:cs="Arial"/>
          <w:b/>
          <w:bCs/>
          <w:lang w:val="es-ES_tradnl"/>
        </w:rPr>
      </w:pPr>
      <w:r>
        <w:rPr>
          <w:rFonts w:ascii="Arial" w:hAnsi="Arial" w:cs="Arial"/>
          <w:b/>
          <w:bCs/>
          <w:lang w:val="es-ES_tradnl"/>
        </w:rPr>
        <w:t>TEMARIO</w:t>
      </w:r>
    </w:p>
    <w:p w14:paraId="70B7C657" w14:textId="5D297C90" w:rsidR="004040E1" w:rsidRPr="000C05AB" w:rsidRDefault="000C05AB" w:rsidP="000C05AB">
      <w:pPr>
        <w:snapToGrid w:val="0"/>
        <w:spacing w:after="240" w:line="360" w:lineRule="auto"/>
        <w:jc w:val="center"/>
        <w:rPr>
          <w:rFonts w:ascii="Arial" w:hAnsi="Arial" w:cs="Arial"/>
          <w:b/>
          <w:bCs/>
          <w:lang w:val="es-ES_tradnl"/>
        </w:rPr>
      </w:pPr>
      <w:r w:rsidRPr="000C05AB">
        <w:rPr>
          <w:rFonts w:ascii="Arial" w:hAnsi="Arial" w:cs="Arial"/>
          <w:b/>
          <w:bCs/>
          <w:lang w:val="es-ES_tradnl"/>
        </w:rPr>
        <w:t xml:space="preserve">REUNIÓN </w:t>
      </w:r>
      <w:r w:rsidR="00341ED4">
        <w:rPr>
          <w:rFonts w:ascii="Arial" w:hAnsi="Arial" w:cs="Arial"/>
          <w:b/>
          <w:bCs/>
          <w:lang w:val="es-ES_tradnl"/>
        </w:rPr>
        <w:t>–</w:t>
      </w:r>
      <w:r w:rsidRPr="000C05AB">
        <w:rPr>
          <w:rFonts w:ascii="Arial" w:hAnsi="Arial" w:cs="Arial"/>
          <w:b/>
          <w:bCs/>
          <w:lang w:val="es-ES_tradnl"/>
        </w:rPr>
        <w:t xml:space="preserve"> </w:t>
      </w:r>
      <w:r w:rsidR="00D2196B">
        <w:rPr>
          <w:rFonts w:ascii="Arial" w:hAnsi="Arial" w:cs="Arial"/>
          <w:b/>
          <w:bCs/>
          <w:lang w:val="es-ES_tradnl"/>
        </w:rPr>
        <w:t>ABRIL 2024</w:t>
      </w:r>
    </w:p>
    <w:p w14:paraId="0D6DAC9B" w14:textId="77777777" w:rsidR="000C05AB" w:rsidRDefault="000C05AB" w:rsidP="000C05AB">
      <w:pPr>
        <w:snapToGrid w:val="0"/>
        <w:spacing w:after="240" w:line="360" w:lineRule="auto"/>
        <w:jc w:val="both"/>
        <w:rPr>
          <w:rFonts w:ascii="Arial" w:hAnsi="Arial" w:cs="Arial"/>
          <w:sz w:val="20"/>
          <w:szCs w:val="20"/>
          <w:lang w:val="es-ES_tradnl"/>
        </w:rPr>
      </w:pPr>
    </w:p>
    <w:p w14:paraId="622866F5" w14:textId="2478A566" w:rsidR="00A644A7" w:rsidRDefault="00CC1BA4" w:rsidP="00853AC5">
      <w:pPr>
        <w:pStyle w:val="Prrafodelista"/>
        <w:numPr>
          <w:ilvl w:val="0"/>
          <w:numId w:val="2"/>
        </w:numPr>
        <w:snapToGrid w:val="0"/>
        <w:spacing w:after="240" w:line="360" w:lineRule="auto"/>
        <w:jc w:val="both"/>
        <w:rPr>
          <w:rFonts w:ascii="Arial" w:hAnsi="Arial" w:cs="Arial"/>
          <w:b/>
          <w:bCs/>
          <w:sz w:val="20"/>
          <w:szCs w:val="20"/>
          <w:lang w:val="es-ES_tradnl"/>
        </w:rPr>
      </w:pPr>
      <w:r>
        <w:rPr>
          <w:rFonts w:ascii="Arial" w:hAnsi="Arial" w:cs="Arial"/>
          <w:b/>
          <w:bCs/>
          <w:sz w:val="20"/>
          <w:szCs w:val="20"/>
          <w:lang w:val="es-ES_tradnl"/>
        </w:rPr>
        <w:t xml:space="preserve">CSJN. </w:t>
      </w:r>
      <w:r w:rsidR="00853AC5">
        <w:rPr>
          <w:rFonts w:ascii="Arial" w:hAnsi="Arial" w:cs="Arial"/>
          <w:b/>
          <w:bCs/>
          <w:sz w:val="20"/>
          <w:szCs w:val="20"/>
          <w:lang w:val="es-ES_tradnl"/>
        </w:rPr>
        <w:t xml:space="preserve">Impuesto sobre los ingresos brutos. Ley de Coparticipación Federal de Impuestos. </w:t>
      </w:r>
      <w:r w:rsidR="001C5B05">
        <w:rPr>
          <w:rFonts w:ascii="Arial" w:hAnsi="Arial" w:cs="Arial"/>
          <w:b/>
          <w:bCs/>
          <w:sz w:val="20"/>
          <w:szCs w:val="20"/>
          <w:lang w:val="es-ES_tradnl"/>
        </w:rPr>
        <w:t xml:space="preserve">Fin de lucro. </w:t>
      </w:r>
    </w:p>
    <w:p w14:paraId="0EA87B6D" w14:textId="77777777" w:rsidR="00CC1BA4" w:rsidRPr="00CC1BA4" w:rsidRDefault="00CC1BA4" w:rsidP="00CC1BA4">
      <w:pPr>
        <w:pStyle w:val="Prrafodelista"/>
        <w:snapToGrid w:val="0"/>
        <w:spacing w:after="240" w:line="360" w:lineRule="auto"/>
        <w:jc w:val="both"/>
        <w:rPr>
          <w:rFonts w:ascii="Arial" w:hAnsi="Arial" w:cs="Arial"/>
          <w:b/>
          <w:bCs/>
          <w:sz w:val="20"/>
          <w:szCs w:val="20"/>
          <w:lang w:val="es-ES_tradnl"/>
        </w:rPr>
      </w:pPr>
    </w:p>
    <w:p w14:paraId="593817BF" w14:textId="7AADF753" w:rsidR="00A644A7" w:rsidRPr="00CC1BA4" w:rsidRDefault="00CC1BA4" w:rsidP="00A668D6">
      <w:pPr>
        <w:pStyle w:val="Prrafodelista"/>
        <w:numPr>
          <w:ilvl w:val="0"/>
          <w:numId w:val="2"/>
        </w:numPr>
        <w:snapToGrid w:val="0"/>
        <w:spacing w:after="240" w:line="360" w:lineRule="auto"/>
        <w:jc w:val="both"/>
        <w:rPr>
          <w:rFonts w:ascii="Arial" w:hAnsi="Arial" w:cs="Arial"/>
          <w:b/>
          <w:bCs/>
          <w:sz w:val="20"/>
          <w:szCs w:val="20"/>
          <w:lang w:val="es-ES_tradnl"/>
        </w:rPr>
      </w:pPr>
      <w:r>
        <w:rPr>
          <w:rFonts w:ascii="Arial" w:hAnsi="Arial" w:cs="Arial"/>
          <w:b/>
          <w:bCs/>
          <w:sz w:val="20"/>
          <w:szCs w:val="20"/>
          <w:lang w:val="es-ES_tradnl"/>
        </w:rPr>
        <w:t xml:space="preserve">Tribunal Fiscal de Apelaciones de la Provincia de Buenos Aires. </w:t>
      </w:r>
      <w:r w:rsidR="00A668D6" w:rsidRPr="00CC1BA4">
        <w:rPr>
          <w:rFonts w:ascii="Arial" w:hAnsi="Arial" w:cs="Arial"/>
          <w:b/>
          <w:bCs/>
          <w:sz w:val="20"/>
          <w:szCs w:val="20"/>
          <w:lang w:val="es-ES_tradnl"/>
        </w:rPr>
        <w:t xml:space="preserve">Recargos. Naturaleza Penal. </w:t>
      </w:r>
      <w:r w:rsidRPr="00CC1BA4">
        <w:rPr>
          <w:rFonts w:ascii="Arial" w:hAnsi="Arial" w:cs="Arial"/>
          <w:b/>
          <w:bCs/>
          <w:sz w:val="20"/>
          <w:szCs w:val="20"/>
          <w:lang w:val="es-ES_tradnl"/>
        </w:rPr>
        <w:t>Prescripción. Aplicación de la doctrina de “Alpha Shipping”.</w:t>
      </w:r>
    </w:p>
    <w:p w14:paraId="4468B578" w14:textId="77777777" w:rsidR="00A644A7" w:rsidRDefault="00A644A7" w:rsidP="000C05AB">
      <w:pPr>
        <w:snapToGrid w:val="0"/>
        <w:spacing w:after="240" w:line="360" w:lineRule="auto"/>
        <w:jc w:val="both"/>
        <w:rPr>
          <w:rFonts w:ascii="Arial" w:hAnsi="Arial" w:cs="Arial"/>
          <w:sz w:val="20"/>
          <w:szCs w:val="20"/>
          <w:lang w:val="es-ES_tradnl"/>
        </w:rPr>
      </w:pPr>
    </w:p>
    <w:p w14:paraId="26EACE40" w14:textId="0E5CBD28" w:rsidR="000C05AB" w:rsidRPr="000C05AB" w:rsidRDefault="000C05AB" w:rsidP="000C05AB">
      <w:pPr>
        <w:snapToGrid w:val="0"/>
        <w:spacing w:after="240" w:line="360" w:lineRule="auto"/>
        <w:jc w:val="both"/>
        <w:rPr>
          <w:rFonts w:ascii="Arial" w:hAnsi="Arial" w:cs="Arial"/>
          <w:b/>
          <w:bCs/>
          <w:sz w:val="20"/>
          <w:szCs w:val="20"/>
          <w:u w:val="single"/>
          <w:lang w:val="es-ES_tradnl"/>
        </w:rPr>
      </w:pPr>
      <w:r w:rsidRPr="000C05AB">
        <w:rPr>
          <w:rFonts w:ascii="Arial" w:hAnsi="Arial" w:cs="Arial"/>
          <w:b/>
          <w:bCs/>
          <w:sz w:val="20"/>
          <w:szCs w:val="20"/>
          <w:u w:val="single"/>
          <w:lang w:val="es-ES_tradnl"/>
        </w:rPr>
        <w:t>JURISPRUDENCIA</w:t>
      </w:r>
    </w:p>
    <w:p w14:paraId="62934643" w14:textId="09F2AE5B" w:rsidR="000C05AB" w:rsidRPr="00341ED4" w:rsidRDefault="000C05AB" w:rsidP="00341ED4">
      <w:pPr>
        <w:pStyle w:val="Prrafodelista"/>
        <w:numPr>
          <w:ilvl w:val="0"/>
          <w:numId w:val="1"/>
        </w:numPr>
        <w:snapToGrid w:val="0"/>
        <w:spacing w:after="240" w:line="360" w:lineRule="auto"/>
        <w:contextualSpacing w:val="0"/>
        <w:jc w:val="both"/>
        <w:rPr>
          <w:rFonts w:ascii="Arial" w:hAnsi="Arial" w:cs="Arial"/>
          <w:b/>
          <w:bCs/>
          <w:sz w:val="20"/>
          <w:szCs w:val="20"/>
          <w:lang w:val="es-ES_tradnl"/>
        </w:rPr>
      </w:pPr>
      <w:r w:rsidRPr="00341ED4">
        <w:rPr>
          <w:rFonts w:ascii="Arial" w:hAnsi="Arial" w:cs="Arial"/>
          <w:b/>
          <w:bCs/>
          <w:sz w:val="20"/>
          <w:szCs w:val="20"/>
          <w:lang w:val="es-ES_tradnl"/>
        </w:rPr>
        <w:t xml:space="preserve">Corte Suprema de Justicia de la Nación. </w:t>
      </w:r>
      <w:r w:rsidR="000D0409">
        <w:rPr>
          <w:rFonts w:ascii="Arial" w:hAnsi="Arial" w:cs="Arial"/>
          <w:b/>
          <w:bCs/>
          <w:sz w:val="20"/>
          <w:szCs w:val="20"/>
          <w:lang w:val="es-ES_tradnl"/>
        </w:rPr>
        <w:t>“</w:t>
      </w:r>
      <w:r w:rsidR="000D0409" w:rsidRPr="000D0409">
        <w:rPr>
          <w:rFonts w:ascii="Arial" w:hAnsi="Arial" w:cs="Arial"/>
          <w:b/>
          <w:bCs/>
          <w:i/>
          <w:iCs/>
          <w:sz w:val="20"/>
          <w:szCs w:val="20"/>
          <w:lang w:val="es-ES_tradnl"/>
        </w:rPr>
        <w:t>Cooperativa Farmacéutica de Provisión y Consumo Alberdi Ltda C/ Provincia Del Chaco S/Amparo</w:t>
      </w:r>
      <w:r w:rsidR="000D0409" w:rsidRPr="00CD62C2">
        <w:rPr>
          <w:rFonts w:ascii="Arial" w:hAnsi="Arial" w:cs="Arial"/>
          <w:b/>
          <w:bCs/>
          <w:i/>
          <w:iCs/>
          <w:sz w:val="20"/>
          <w:szCs w:val="20"/>
          <w:lang w:val="es-ES_tradnl"/>
        </w:rPr>
        <w:t xml:space="preserve"> </w:t>
      </w:r>
      <w:r w:rsidRPr="00341ED4">
        <w:rPr>
          <w:rFonts w:ascii="Arial" w:hAnsi="Arial" w:cs="Arial"/>
          <w:b/>
          <w:bCs/>
          <w:i/>
          <w:iCs/>
          <w:sz w:val="20"/>
          <w:szCs w:val="20"/>
          <w:lang w:val="es-ES_tradnl"/>
        </w:rPr>
        <w:t>(</w:t>
      </w:r>
      <w:r w:rsidR="00CD62C2">
        <w:rPr>
          <w:rFonts w:ascii="Arial" w:hAnsi="Arial" w:cs="Arial"/>
          <w:b/>
          <w:bCs/>
          <w:i/>
          <w:iCs/>
          <w:sz w:val="20"/>
          <w:szCs w:val="20"/>
          <w:lang w:val="es-ES_tradnl"/>
        </w:rPr>
        <w:t>19</w:t>
      </w:r>
      <w:r w:rsidRPr="00341ED4">
        <w:rPr>
          <w:rFonts w:ascii="Arial" w:hAnsi="Arial" w:cs="Arial"/>
          <w:b/>
          <w:bCs/>
          <w:i/>
          <w:iCs/>
          <w:sz w:val="20"/>
          <w:szCs w:val="20"/>
          <w:lang w:val="es-ES_tradnl"/>
        </w:rPr>
        <w:t>/0</w:t>
      </w:r>
      <w:r w:rsidR="00CD62C2">
        <w:rPr>
          <w:rFonts w:ascii="Arial" w:hAnsi="Arial" w:cs="Arial"/>
          <w:b/>
          <w:bCs/>
          <w:i/>
          <w:iCs/>
          <w:sz w:val="20"/>
          <w:szCs w:val="20"/>
          <w:lang w:val="es-ES_tradnl"/>
        </w:rPr>
        <w:t>3</w:t>
      </w:r>
      <w:r w:rsidRPr="00341ED4">
        <w:rPr>
          <w:rFonts w:ascii="Arial" w:hAnsi="Arial" w:cs="Arial"/>
          <w:b/>
          <w:bCs/>
          <w:i/>
          <w:iCs/>
          <w:sz w:val="20"/>
          <w:szCs w:val="20"/>
          <w:lang w:val="es-ES_tradnl"/>
        </w:rPr>
        <w:t>/202</w:t>
      </w:r>
      <w:r w:rsidR="00CD62C2">
        <w:rPr>
          <w:rFonts w:ascii="Arial" w:hAnsi="Arial" w:cs="Arial"/>
          <w:b/>
          <w:bCs/>
          <w:i/>
          <w:iCs/>
          <w:sz w:val="20"/>
          <w:szCs w:val="20"/>
          <w:lang w:val="es-ES_tradnl"/>
        </w:rPr>
        <w:t>4</w:t>
      </w:r>
      <w:r w:rsidRPr="00341ED4">
        <w:rPr>
          <w:rFonts w:ascii="Arial" w:hAnsi="Arial" w:cs="Arial"/>
          <w:b/>
          <w:bCs/>
          <w:i/>
          <w:iCs/>
          <w:sz w:val="20"/>
          <w:szCs w:val="20"/>
          <w:lang w:val="es-ES_tradnl"/>
        </w:rPr>
        <w:t>)”</w:t>
      </w:r>
      <w:r w:rsidRPr="00341ED4">
        <w:rPr>
          <w:rFonts w:ascii="Arial" w:hAnsi="Arial" w:cs="Arial"/>
          <w:b/>
          <w:bCs/>
          <w:sz w:val="20"/>
          <w:szCs w:val="20"/>
          <w:lang w:val="es-ES_tradnl"/>
        </w:rPr>
        <w:t xml:space="preserve">. </w:t>
      </w:r>
      <w:r w:rsidR="00341ED4">
        <w:rPr>
          <w:rFonts w:ascii="Arial" w:hAnsi="Arial" w:cs="Arial"/>
          <w:b/>
          <w:bCs/>
          <w:sz w:val="20"/>
          <w:szCs w:val="20"/>
          <w:lang w:val="es-ES_tradnl"/>
        </w:rPr>
        <w:t xml:space="preserve">Impuesto </w:t>
      </w:r>
      <w:r w:rsidR="00CD62C2">
        <w:rPr>
          <w:rFonts w:ascii="Arial" w:hAnsi="Arial" w:cs="Arial"/>
          <w:b/>
          <w:bCs/>
          <w:sz w:val="20"/>
          <w:szCs w:val="20"/>
          <w:lang w:val="es-ES_tradnl"/>
        </w:rPr>
        <w:t>sobre los Ingresos Brutos</w:t>
      </w:r>
      <w:r w:rsidR="004E553B" w:rsidRPr="00341ED4">
        <w:rPr>
          <w:rFonts w:ascii="Arial" w:hAnsi="Arial" w:cs="Arial"/>
          <w:b/>
          <w:bCs/>
          <w:sz w:val="20"/>
          <w:szCs w:val="20"/>
          <w:lang w:val="es-ES_tradnl"/>
        </w:rPr>
        <w:t>.</w:t>
      </w:r>
    </w:p>
    <w:p w14:paraId="5B7FC1D0" w14:textId="77777777" w:rsidR="008A1489" w:rsidRPr="008A1489" w:rsidRDefault="008A1489" w:rsidP="008A1489">
      <w:pPr>
        <w:pStyle w:val="Prrafodelista"/>
        <w:snapToGrid w:val="0"/>
        <w:spacing w:after="240" w:line="360" w:lineRule="auto"/>
        <w:ind w:left="360"/>
        <w:jc w:val="both"/>
        <w:rPr>
          <w:rFonts w:ascii="Arial" w:hAnsi="Arial" w:cs="Arial"/>
          <w:sz w:val="20"/>
          <w:szCs w:val="20"/>
          <w:lang w:val="es-ES_tradnl"/>
        </w:rPr>
      </w:pPr>
      <w:r w:rsidRPr="008A1489">
        <w:rPr>
          <w:rFonts w:ascii="Arial" w:hAnsi="Arial" w:cs="Arial"/>
          <w:sz w:val="20"/>
          <w:szCs w:val="20"/>
          <w:lang w:val="es-ES_tradnl"/>
        </w:rPr>
        <w:t xml:space="preserve">Una cooperativa promovió amparo a fin de obtener la declaración de inconstitucionalidad del art. 116 del Código Tributario del Chaco y la nulidad de las resoluciones administrativas por las que se había determinado una deuda en concepto de impuesto sobre los ingresos brutos por la actividad sin fines de lucro desarrollada. El planteo fue rechazado en las instancias provinciales. </w:t>
      </w:r>
    </w:p>
    <w:p w14:paraId="62F256FF" w14:textId="32D5E2F1" w:rsidR="008A1489" w:rsidRDefault="008A1489" w:rsidP="008A1489">
      <w:pPr>
        <w:pStyle w:val="Prrafodelista"/>
        <w:snapToGrid w:val="0"/>
        <w:spacing w:after="240" w:line="360" w:lineRule="auto"/>
        <w:ind w:left="360"/>
        <w:jc w:val="both"/>
        <w:rPr>
          <w:rFonts w:ascii="Arial" w:hAnsi="Arial" w:cs="Arial"/>
          <w:sz w:val="20"/>
          <w:szCs w:val="20"/>
          <w:lang w:val="es-ES_tradnl"/>
        </w:rPr>
      </w:pPr>
      <w:r w:rsidRPr="008A1489">
        <w:rPr>
          <w:rFonts w:ascii="Arial" w:hAnsi="Arial" w:cs="Arial"/>
          <w:sz w:val="20"/>
          <w:szCs w:val="20"/>
          <w:lang w:val="es-ES_tradnl"/>
        </w:rPr>
        <w:t>La Corte revocó el pronunciamiento.</w:t>
      </w:r>
      <w:r>
        <w:rPr>
          <w:rFonts w:ascii="Arial" w:hAnsi="Arial" w:cs="Arial"/>
          <w:sz w:val="20"/>
          <w:szCs w:val="20"/>
          <w:lang w:val="es-ES_tradnl"/>
        </w:rPr>
        <w:t xml:space="preserve"> </w:t>
      </w:r>
      <w:r w:rsidRPr="008A1489">
        <w:rPr>
          <w:rFonts w:ascii="Arial" w:hAnsi="Arial" w:cs="Arial"/>
          <w:sz w:val="20"/>
          <w:szCs w:val="20"/>
          <w:lang w:val="es-ES_tradnl"/>
        </w:rPr>
        <w:t>Sostuvo en primer lugar que la decisión volvía inoperante la solución normativa prevista en la ley de coparticipación federal de impuestos vigente y que iba en desmedro del propósito de homogeneidad normativa perseguido por la ley mencionada.</w:t>
      </w:r>
      <w:r>
        <w:rPr>
          <w:rFonts w:ascii="Arial" w:hAnsi="Arial" w:cs="Arial"/>
          <w:sz w:val="20"/>
          <w:szCs w:val="20"/>
          <w:lang w:val="es-ES_tradnl"/>
        </w:rPr>
        <w:t xml:space="preserve"> </w:t>
      </w:r>
      <w:r w:rsidRPr="008A1489">
        <w:rPr>
          <w:rFonts w:ascii="Arial" w:hAnsi="Arial" w:cs="Arial"/>
          <w:sz w:val="20"/>
          <w:szCs w:val="20"/>
          <w:lang w:val="es-ES_tradnl"/>
        </w:rPr>
        <w:t>Finalmente, afirmó que interpretación de la sentencia recurrida que permitía gravar con el impuesto sobre los ingresos brutos a toda otra actividad habitual onerosa, aunque sea realizada sin propósito de lucro, tornaba superflua y carente de toda operatividad a la expresión “con fines de lucro” empleada por el artículo 9°, inciso b), punto. I, de la ley 23.548.</w:t>
      </w:r>
    </w:p>
    <w:p w14:paraId="579B2FCA" w14:textId="77777777" w:rsidR="008A1489" w:rsidRDefault="008A1489" w:rsidP="000C05AB">
      <w:pPr>
        <w:pStyle w:val="Prrafodelista"/>
        <w:snapToGrid w:val="0"/>
        <w:spacing w:after="240" w:line="360" w:lineRule="auto"/>
        <w:ind w:left="360"/>
        <w:contextualSpacing w:val="0"/>
        <w:jc w:val="both"/>
        <w:rPr>
          <w:rFonts w:ascii="Arial" w:hAnsi="Arial" w:cs="Arial"/>
          <w:sz w:val="20"/>
          <w:szCs w:val="20"/>
          <w:lang w:val="es-ES_tradnl"/>
        </w:rPr>
      </w:pPr>
    </w:p>
    <w:p w14:paraId="1A4128DB" w14:textId="079F2354" w:rsidR="00C809A1" w:rsidRPr="00EC488D" w:rsidRDefault="00C809A1" w:rsidP="005D22F1">
      <w:pPr>
        <w:pStyle w:val="Prrafodelista"/>
        <w:numPr>
          <w:ilvl w:val="0"/>
          <w:numId w:val="1"/>
        </w:numPr>
        <w:snapToGrid w:val="0"/>
        <w:spacing w:after="240" w:line="360" w:lineRule="auto"/>
        <w:jc w:val="both"/>
        <w:rPr>
          <w:rFonts w:ascii="Arial" w:hAnsi="Arial" w:cs="Arial"/>
          <w:b/>
          <w:bCs/>
          <w:sz w:val="20"/>
          <w:szCs w:val="20"/>
          <w:lang w:val="es-ES_tradnl"/>
        </w:rPr>
      </w:pPr>
      <w:r w:rsidRPr="00EC488D">
        <w:rPr>
          <w:rFonts w:ascii="Arial" w:hAnsi="Arial" w:cs="Arial"/>
          <w:b/>
          <w:bCs/>
          <w:sz w:val="20"/>
          <w:szCs w:val="20"/>
          <w:lang w:val="es-ES_tradnl"/>
        </w:rPr>
        <w:t xml:space="preserve">Corte Suprema de Justicia de la Nación. </w:t>
      </w:r>
      <w:r w:rsidR="00EC488D" w:rsidRPr="00EC488D">
        <w:rPr>
          <w:rFonts w:ascii="Arial" w:hAnsi="Arial" w:cs="Arial"/>
          <w:b/>
          <w:bCs/>
          <w:sz w:val="20"/>
          <w:szCs w:val="20"/>
          <w:lang w:val="es-ES_tradnl"/>
        </w:rPr>
        <w:t>“</w:t>
      </w:r>
      <w:r w:rsidR="00EC488D" w:rsidRPr="000D0409">
        <w:rPr>
          <w:rFonts w:ascii="Arial" w:hAnsi="Arial" w:cs="Arial"/>
          <w:b/>
          <w:bCs/>
          <w:i/>
          <w:iCs/>
          <w:sz w:val="20"/>
          <w:szCs w:val="20"/>
          <w:lang w:val="es-ES_tradnl"/>
        </w:rPr>
        <w:t>Biout S.A. c/ Misiones, Provincia</w:t>
      </w:r>
      <w:r w:rsidR="00EC488D" w:rsidRPr="000D0409">
        <w:rPr>
          <w:rFonts w:ascii="Arial" w:hAnsi="Arial" w:cs="Arial"/>
          <w:b/>
          <w:bCs/>
          <w:i/>
          <w:iCs/>
          <w:sz w:val="20"/>
          <w:szCs w:val="20"/>
          <w:lang w:val="es-ES_tradnl"/>
        </w:rPr>
        <w:t xml:space="preserve"> </w:t>
      </w:r>
      <w:r w:rsidR="00EC488D" w:rsidRPr="000D0409">
        <w:rPr>
          <w:rFonts w:ascii="Arial" w:hAnsi="Arial" w:cs="Arial"/>
          <w:b/>
          <w:bCs/>
          <w:i/>
          <w:iCs/>
          <w:sz w:val="20"/>
          <w:szCs w:val="20"/>
          <w:lang w:val="es-ES_tradnl"/>
        </w:rPr>
        <w:t>de s/ acción declarativa de</w:t>
      </w:r>
      <w:r w:rsidR="00EC488D" w:rsidRPr="000D0409">
        <w:rPr>
          <w:rFonts w:ascii="Arial" w:hAnsi="Arial" w:cs="Arial"/>
          <w:b/>
          <w:bCs/>
          <w:i/>
          <w:iCs/>
          <w:sz w:val="20"/>
          <w:szCs w:val="20"/>
          <w:lang w:val="es-ES_tradnl"/>
        </w:rPr>
        <w:t xml:space="preserve"> </w:t>
      </w:r>
      <w:r w:rsidR="00EC488D" w:rsidRPr="000D0409">
        <w:rPr>
          <w:rFonts w:ascii="Arial" w:hAnsi="Arial" w:cs="Arial"/>
          <w:b/>
          <w:bCs/>
          <w:i/>
          <w:iCs/>
          <w:sz w:val="20"/>
          <w:szCs w:val="20"/>
          <w:lang w:val="es-ES_tradnl"/>
        </w:rPr>
        <w:t>inconstitucionalidad</w:t>
      </w:r>
      <w:r w:rsidR="00EC488D" w:rsidRPr="00EC488D">
        <w:rPr>
          <w:rFonts w:ascii="Arial" w:hAnsi="Arial" w:cs="Arial"/>
          <w:b/>
          <w:bCs/>
          <w:sz w:val="20"/>
          <w:szCs w:val="20"/>
          <w:lang w:val="es-ES_tradnl"/>
        </w:rPr>
        <w:t>.</w:t>
      </w:r>
      <w:r w:rsidRPr="00EC488D">
        <w:rPr>
          <w:rFonts w:ascii="Arial" w:hAnsi="Arial" w:cs="Arial"/>
          <w:b/>
          <w:bCs/>
          <w:i/>
          <w:iCs/>
          <w:sz w:val="20"/>
          <w:szCs w:val="20"/>
          <w:lang w:val="es-ES_tradnl"/>
        </w:rPr>
        <w:t>” (</w:t>
      </w:r>
      <w:r w:rsidR="00EC488D">
        <w:rPr>
          <w:rFonts w:ascii="Arial" w:hAnsi="Arial" w:cs="Arial"/>
          <w:b/>
          <w:bCs/>
          <w:i/>
          <w:iCs/>
          <w:sz w:val="20"/>
          <w:szCs w:val="20"/>
          <w:lang w:val="es-ES_tradnl"/>
        </w:rPr>
        <w:t>19</w:t>
      </w:r>
      <w:r w:rsidRPr="00EC488D">
        <w:rPr>
          <w:rFonts w:ascii="Arial" w:hAnsi="Arial" w:cs="Arial"/>
          <w:b/>
          <w:bCs/>
          <w:i/>
          <w:iCs/>
          <w:sz w:val="20"/>
          <w:szCs w:val="20"/>
          <w:lang w:val="es-ES_tradnl"/>
        </w:rPr>
        <w:t>/0</w:t>
      </w:r>
      <w:r w:rsidR="00C9367C">
        <w:rPr>
          <w:rFonts w:ascii="Arial" w:hAnsi="Arial" w:cs="Arial"/>
          <w:b/>
          <w:bCs/>
          <w:i/>
          <w:iCs/>
          <w:sz w:val="20"/>
          <w:szCs w:val="20"/>
          <w:lang w:val="es-ES_tradnl"/>
        </w:rPr>
        <w:t>3</w:t>
      </w:r>
      <w:r w:rsidRPr="00EC488D">
        <w:rPr>
          <w:rFonts w:ascii="Arial" w:hAnsi="Arial" w:cs="Arial"/>
          <w:b/>
          <w:bCs/>
          <w:i/>
          <w:iCs/>
          <w:sz w:val="20"/>
          <w:szCs w:val="20"/>
          <w:lang w:val="es-ES_tradnl"/>
        </w:rPr>
        <w:t>/202</w:t>
      </w:r>
      <w:r w:rsidR="00C9367C">
        <w:rPr>
          <w:rFonts w:ascii="Arial" w:hAnsi="Arial" w:cs="Arial"/>
          <w:b/>
          <w:bCs/>
          <w:i/>
          <w:iCs/>
          <w:sz w:val="20"/>
          <w:szCs w:val="20"/>
          <w:lang w:val="es-ES_tradnl"/>
        </w:rPr>
        <w:t>4</w:t>
      </w:r>
      <w:r w:rsidRPr="00EC488D">
        <w:rPr>
          <w:rFonts w:ascii="Arial" w:hAnsi="Arial" w:cs="Arial"/>
          <w:b/>
          <w:bCs/>
          <w:i/>
          <w:iCs/>
          <w:sz w:val="20"/>
          <w:szCs w:val="20"/>
          <w:lang w:val="es-ES_tradnl"/>
        </w:rPr>
        <w:t>)”</w:t>
      </w:r>
      <w:r w:rsidRPr="00EC488D">
        <w:rPr>
          <w:rFonts w:ascii="Arial" w:hAnsi="Arial" w:cs="Arial"/>
          <w:b/>
          <w:bCs/>
          <w:sz w:val="20"/>
          <w:szCs w:val="20"/>
          <w:lang w:val="es-ES_tradnl"/>
        </w:rPr>
        <w:t>.</w:t>
      </w:r>
      <w:r w:rsidR="00C9367C">
        <w:rPr>
          <w:rFonts w:ascii="Arial" w:hAnsi="Arial" w:cs="Arial"/>
          <w:b/>
          <w:bCs/>
          <w:sz w:val="20"/>
          <w:szCs w:val="20"/>
          <w:lang w:val="es-ES_tradnl"/>
        </w:rPr>
        <w:t xml:space="preserve"> Competencia Originaria. Restricción al ingreso de mercaderías a la Provincia de Misiones,</w:t>
      </w:r>
    </w:p>
    <w:p w14:paraId="4B72B448" w14:textId="66C54BA5" w:rsidR="00BC7273" w:rsidRDefault="000C57F3" w:rsidP="00BC7273">
      <w:pPr>
        <w:snapToGrid w:val="0"/>
        <w:spacing w:after="240" w:line="360" w:lineRule="auto"/>
        <w:ind w:left="360"/>
        <w:jc w:val="both"/>
        <w:rPr>
          <w:rFonts w:ascii="Arial" w:hAnsi="Arial" w:cs="Arial"/>
          <w:sz w:val="20"/>
          <w:szCs w:val="20"/>
          <w:lang w:val="es-ES_tradnl"/>
        </w:rPr>
      </w:pPr>
      <w:r>
        <w:rPr>
          <w:rFonts w:ascii="Arial" w:hAnsi="Arial" w:cs="Arial"/>
          <w:sz w:val="20"/>
          <w:szCs w:val="20"/>
          <w:lang w:val="es-ES_tradnl"/>
        </w:rPr>
        <w:lastRenderedPageBreak/>
        <w:t>La CSJN se declara competente para entender en una acción declarativa</w:t>
      </w:r>
      <w:r w:rsidR="00F652A1">
        <w:rPr>
          <w:rFonts w:ascii="Arial" w:hAnsi="Arial" w:cs="Arial"/>
          <w:sz w:val="20"/>
          <w:szCs w:val="20"/>
          <w:lang w:val="es-ES_tradnl"/>
        </w:rPr>
        <w:t xml:space="preserve"> con remisión a la causa “Loma Negra”.  Resuelve otorgar una medida cautelar para que la Provincia de Misiones se abstenga</w:t>
      </w:r>
      <w:r w:rsidR="00BC7273">
        <w:rPr>
          <w:rFonts w:ascii="Arial" w:hAnsi="Arial" w:cs="Arial"/>
          <w:sz w:val="20"/>
          <w:szCs w:val="20"/>
          <w:lang w:val="es-ES_tradnl"/>
        </w:rPr>
        <w:t xml:space="preserve"> </w:t>
      </w:r>
      <w:r w:rsidR="00BC7273" w:rsidRPr="00BC7273">
        <w:rPr>
          <w:rFonts w:ascii="Arial" w:hAnsi="Arial" w:cs="Arial"/>
          <w:sz w:val="20"/>
          <w:szCs w:val="20"/>
          <w:lang w:val="es-ES_tradnl"/>
        </w:rPr>
        <w:t>de</w:t>
      </w:r>
      <w:r w:rsidR="00BC7273">
        <w:rPr>
          <w:rFonts w:ascii="Arial" w:hAnsi="Arial" w:cs="Arial"/>
          <w:sz w:val="20"/>
          <w:szCs w:val="20"/>
          <w:lang w:val="es-ES_tradnl"/>
        </w:rPr>
        <w:t xml:space="preserve"> </w:t>
      </w:r>
      <w:r w:rsidR="00BC7273" w:rsidRPr="00BC7273">
        <w:rPr>
          <w:rFonts w:ascii="Arial" w:hAnsi="Arial" w:cs="Arial"/>
          <w:sz w:val="20"/>
          <w:szCs w:val="20"/>
          <w:lang w:val="es-ES_tradnl"/>
        </w:rPr>
        <w:t>obstaculizar el ingreso de mercaderías fabricadas y</w:t>
      </w:r>
      <w:r w:rsidR="00BC7273">
        <w:rPr>
          <w:rFonts w:ascii="Arial" w:hAnsi="Arial" w:cs="Arial"/>
          <w:sz w:val="20"/>
          <w:szCs w:val="20"/>
          <w:lang w:val="es-ES_tradnl"/>
        </w:rPr>
        <w:t xml:space="preserve"> </w:t>
      </w:r>
      <w:r w:rsidR="00BC7273" w:rsidRPr="00BC7273">
        <w:rPr>
          <w:rFonts w:ascii="Arial" w:hAnsi="Arial" w:cs="Arial"/>
          <w:sz w:val="20"/>
          <w:szCs w:val="20"/>
          <w:lang w:val="es-ES_tradnl"/>
        </w:rPr>
        <w:t>comercializadas por Biout S.A. provenientes de extraña</w:t>
      </w:r>
      <w:r w:rsidR="00BC7273">
        <w:rPr>
          <w:rFonts w:ascii="Arial" w:hAnsi="Arial" w:cs="Arial"/>
          <w:sz w:val="20"/>
          <w:szCs w:val="20"/>
          <w:lang w:val="es-ES_tradnl"/>
        </w:rPr>
        <w:t xml:space="preserve"> </w:t>
      </w:r>
      <w:r w:rsidR="00BC7273" w:rsidRPr="00BC7273">
        <w:rPr>
          <w:rFonts w:ascii="Arial" w:hAnsi="Arial" w:cs="Arial"/>
          <w:sz w:val="20"/>
          <w:szCs w:val="20"/>
          <w:lang w:val="es-ES_tradnl"/>
        </w:rPr>
        <w:t>jurisdicción por el solo hecho de no haber pagado a cuenta del</w:t>
      </w:r>
      <w:r w:rsidR="00BC7273">
        <w:rPr>
          <w:rFonts w:ascii="Arial" w:hAnsi="Arial" w:cs="Arial"/>
          <w:sz w:val="20"/>
          <w:szCs w:val="20"/>
          <w:lang w:val="es-ES_tradnl"/>
        </w:rPr>
        <w:t xml:space="preserve"> </w:t>
      </w:r>
      <w:r w:rsidR="00BC7273" w:rsidRPr="00BC7273">
        <w:rPr>
          <w:rFonts w:ascii="Arial" w:hAnsi="Arial" w:cs="Arial"/>
          <w:sz w:val="20"/>
          <w:szCs w:val="20"/>
          <w:lang w:val="es-ES_tradnl"/>
        </w:rPr>
        <w:t>anticipo del impuesto sobre los ingresos brutos previsto en la</w:t>
      </w:r>
      <w:r w:rsidR="00BC7273">
        <w:rPr>
          <w:rFonts w:ascii="Arial" w:hAnsi="Arial" w:cs="Arial"/>
          <w:sz w:val="20"/>
          <w:szCs w:val="20"/>
          <w:lang w:val="es-ES_tradnl"/>
        </w:rPr>
        <w:t xml:space="preserve"> </w:t>
      </w:r>
      <w:r w:rsidR="00BC7273" w:rsidRPr="00BC7273">
        <w:rPr>
          <w:rFonts w:ascii="Arial" w:hAnsi="Arial" w:cs="Arial"/>
          <w:sz w:val="20"/>
          <w:szCs w:val="20"/>
          <w:lang w:val="es-ES_tradnl"/>
        </w:rPr>
        <w:t>resolución general 56/2007 dictada por la Dirección General de</w:t>
      </w:r>
      <w:r w:rsidR="00BC7273">
        <w:rPr>
          <w:rFonts w:ascii="Arial" w:hAnsi="Arial" w:cs="Arial"/>
          <w:sz w:val="20"/>
          <w:szCs w:val="20"/>
          <w:lang w:val="es-ES_tradnl"/>
        </w:rPr>
        <w:t xml:space="preserve"> </w:t>
      </w:r>
      <w:r w:rsidR="00BC7273" w:rsidRPr="00BC7273">
        <w:rPr>
          <w:rFonts w:ascii="Arial" w:hAnsi="Arial" w:cs="Arial"/>
          <w:sz w:val="20"/>
          <w:szCs w:val="20"/>
          <w:lang w:val="es-ES_tradnl"/>
        </w:rPr>
        <w:t>Rentas provincial</w:t>
      </w:r>
      <w:r w:rsidR="00BC7273">
        <w:rPr>
          <w:rFonts w:ascii="Arial" w:hAnsi="Arial" w:cs="Arial"/>
          <w:sz w:val="20"/>
          <w:szCs w:val="20"/>
          <w:lang w:val="es-ES_tradnl"/>
        </w:rPr>
        <w:t>.</w:t>
      </w:r>
    </w:p>
    <w:p w14:paraId="68D7B093" w14:textId="77777777" w:rsidR="00C809A1" w:rsidRDefault="00C809A1" w:rsidP="000C05AB">
      <w:pPr>
        <w:pStyle w:val="Prrafodelista"/>
        <w:snapToGrid w:val="0"/>
        <w:spacing w:after="240" w:line="360" w:lineRule="auto"/>
        <w:ind w:left="360"/>
        <w:contextualSpacing w:val="0"/>
        <w:jc w:val="both"/>
        <w:rPr>
          <w:rFonts w:ascii="Arial" w:hAnsi="Arial" w:cs="Arial"/>
          <w:sz w:val="20"/>
          <w:szCs w:val="20"/>
          <w:lang w:val="es-ES_tradnl"/>
        </w:rPr>
      </w:pPr>
    </w:p>
    <w:p w14:paraId="6B069131" w14:textId="0EB20EB0" w:rsidR="006E442B" w:rsidRPr="00EC488D" w:rsidRDefault="006E442B" w:rsidP="006E442B">
      <w:pPr>
        <w:pStyle w:val="Prrafodelista"/>
        <w:numPr>
          <w:ilvl w:val="0"/>
          <w:numId w:val="1"/>
        </w:numPr>
        <w:snapToGrid w:val="0"/>
        <w:spacing w:after="240" w:line="360" w:lineRule="auto"/>
        <w:jc w:val="both"/>
        <w:rPr>
          <w:rFonts w:ascii="Arial" w:hAnsi="Arial" w:cs="Arial"/>
          <w:b/>
          <w:bCs/>
          <w:sz w:val="20"/>
          <w:szCs w:val="20"/>
          <w:lang w:val="es-ES_tradnl"/>
        </w:rPr>
      </w:pPr>
      <w:r w:rsidRPr="00EC488D">
        <w:rPr>
          <w:rFonts w:ascii="Arial" w:hAnsi="Arial" w:cs="Arial"/>
          <w:b/>
          <w:bCs/>
          <w:sz w:val="20"/>
          <w:szCs w:val="20"/>
          <w:lang w:val="es-ES_tradnl"/>
        </w:rPr>
        <w:t>Corte Suprema de Justicia de la Nación. “</w:t>
      </w:r>
      <w:r w:rsidRPr="000D0409">
        <w:rPr>
          <w:rFonts w:ascii="Arial" w:hAnsi="Arial" w:cs="Arial"/>
          <w:b/>
          <w:bCs/>
          <w:i/>
          <w:iCs/>
          <w:sz w:val="20"/>
          <w:szCs w:val="20"/>
          <w:lang w:val="es-ES_tradnl"/>
        </w:rPr>
        <w:t>Verónica SA</w:t>
      </w:r>
      <w:r w:rsidRPr="000D0409">
        <w:rPr>
          <w:rFonts w:ascii="Arial" w:hAnsi="Arial" w:cs="Arial"/>
          <w:b/>
          <w:bCs/>
          <w:i/>
          <w:iCs/>
          <w:sz w:val="20"/>
          <w:szCs w:val="20"/>
          <w:lang w:val="es-ES_tradnl"/>
        </w:rPr>
        <w:t xml:space="preserve"> c/ </w:t>
      </w:r>
      <w:r w:rsidR="006B6BC4" w:rsidRPr="000D0409">
        <w:rPr>
          <w:rFonts w:ascii="Arial" w:hAnsi="Arial" w:cs="Arial"/>
          <w:b/>
          <w:bCs/>
          <w:i/>
          <w:iCs/>
          <w:sz w:val="20"/>
          <w:szCs w:val="20"/>
          <w:lang w:val="es-ES_tradnl"/>
        </w:rPr>
        <w:t>Buenos AIres</w:t>
      </w:r>
      <w:r w:rsidRPr="000D0409">
        <w:rPr>
          <w:rFonts w:ascii="Arial" w:hAnsi="Arial" w:cs="Arial"/>
          <w:b/>
          <w:bCs/>
          <w:i/>
          <w:iCs/>
          <w:sz w:val="20"/>
          <w:szCs w:val="20"/>
          <w:lang w:val="es-ES_tradnl"/>
        </w:rPr>
        <w:t>, Provincia de s/ acción declarativa de inconstitucionalidad</w:t>
      </w:r>
      <w:r w:rsidRPr="00EC488D">
        <w:rPr>
          <w:rFonts w:ascii="Arial" w:hAnsi="Arial" w:cs="Arial"/>
          <w:b/>
          <w:bCs/>
          <w:sz w:val="20"/>
          <w:szCs w:val="20"/>
          <w:lang w:val="es-ES_tradnl"/>
        </w:rPr>
        <w:t>.</w:t>
      </w:r>
      <w:r w:rsidRPr="00EC488D">
        <w:rPr>
          <w:rFonts w:ascii="Arial" w:hAnsi="Arial" w:cs="Arial"/>
          <w:b/>
          <w:bCs/>
          <w:i/>
          <w:iCs/>
          <w:sz w:val="20"/>
          <w:szCs w:val="20"/>
          <w:lang w:val="es-ES_tradnl"/>
        </w:rPr>
        <w:t>” (</w:t>
      </w:r>
      <w:r>
        <w:rPr>
          <w:rFonts w:ascii="Arial" w:hAnsi="Arial" w:cs="Arial"/>
          <w:b/>
          <w:bCs/>
          <w:i/>
          <w:iCs/>
          <w:sz w:val="20"/>
          <w:szCs w:val="20"/>
          <w:lang w:val="es-ES_tradnl"/>
        </w:rPr>
        <w:t>19</w:t>
      </w:r>
      <w:r w:rsidRPr="00EC488D">
        <w:rPr>
          <w:rFonts w:ascii="Arial" w:hAnsi="Arial" w:cs="Arial"/>
          <w:b/>
          <w:bCs/>
          <w:i/>
          <w:iCs/>
          <w:sz w:val="20"/>
          <w:szCs w:val="20"/>
          <w:lang w:val="es-ES_tradnl"/>
        </w:rPr>
        <w:t>/0</w:t>
      </w:r>
      <w:r>
        <w:rPr>
          <w:rFonts w:ascii="Arial" w:hAnsi="Arial" w:cs="Arial"/>
          <w:b/>
          <w:bCs/>
          <w:i/>
          <w:iCs/>
          <w:sz w:val="20"/>
          <w:szCs w:val="20"/>
          <w:lang w:val="es-ES_tradnl"/>
        </w:rPr>
        <w:t>3</w:t>
      </w:r>
      <w:r w:rsidRPr="00EC488D">
        <w:rPr>
          <w:rFonts w:ascii="Arial" w:hAnsi="Arial" w:cs="Arial"/>
          <w:b/>
          <w:bCs/>
          <w:i/>
          <w:iCs/>
          <w:sz w:val="20"/>
          <w:szCs w:val="20"/>
          <w:lang w:val="es-ES_tradnl"/>
        </w:rPr>
        <w:t>/202</w:t>
      </w:r>
      <w:r>
        <w:rPr>
          <w:rFonts w:ascii="Arial" w:hAnsi="Arial" w:cs="Arial"/>
          <w:b/>
          <w:bCs/>
          <w:i/>
          <w:iCs/>
          <w:sz w:val="20"/>
          <w:szCs w:val="20"/>
          <w:lang w:val="es-ES_tradnl"/>
        </w:rPr>
        <w:t>4</w:t>
      </w:r>
      <w:r w:rsidRPr="00EC488D">
        <w:rPr>
          <w:rFonts w:ascii="Arial" w:hAnsi="Arial" w:cs="Arial"/>
          <w:b/>
          <w:bCs/>
          <w:i/>
          <w:iCs/>
          <w:sz w:val="20"/>
          <w:szCs w:val="20"/>
          <w:lang w:val="es-ES_tradnl"/>
        </w:rPr>
        <w:t>)”</w:t>
      </w:r>
      <w:r w:rsidRPr="00EC488D">
        <w:rPr>
          <w:rFonts w:ascii="Arial" w:hAnsi="Arial" w:cs="Arial"/>
          <w:b/>
          <w:bCs/>
          <w:sz w:val="20"/>
          <w:szCs w:val="20"/>
          <w:lang w:val="es-ES_tradnl"/>
        </w:rPr>
        <w:t>.</w:t>
      </w:r>
      <w:r>
        <w:rPr>
          <w:rFonts w:ascii="Arial" w:hAnsi="Arial" w:cs="Arial"/>
          <w:b/>
          <w:bCs/>
          <w:sz w:val="20"/>
          <w:szCs w:val="20"/>
          <w:lang w:val="es-ES_tradnl"/>
        </w:rPr>
        <w:t xml:space="preserve"> Competencia Originaria. </w:t>
      </w:r>
      <w:r w:rsidR="006B6BC4">
        <w:rPr>
          <w:rFonts w:ascii="Arial" w:hAnsi="Arial" w:cs="Arial"/>
          <w:b/>
          <w:bCs/>
          <w:sz w:val="20"/>
          <w:szCs w:val="20"/>
          <w:lang w:val="es-ES_tradnl"/>
        </w:rPr>
        <w:t>Alícuotas diferenciales. Rechazo medida cau</w:t>
      </w:r>
      <w:r w:rsidR="00F30331">
        <w:rPr>
          <w:rFonts w:ascii="Arial" w:hAnsi="Arial" w:cs="Arial"/>
          <w:b/>
          <w:bCs/>
          <w:sz w:val="20"/>
          <w:szCs w:val="20"/>
          <w:lang w:val="es-ES_tradnl"/>
        </w:rPr>
        <w:t>telar.</w:t>
      </w:r>
    </w:p>
    <w:p w14:paraId="08B6313D" w14:textId="1EC34712" w:rsidR="00123726" w:rsidRDefault="00F30331" w:rsidP="000C05AB">
      <w:pPr>
        <w:pStyle w:val="Prrafodelista"/>
        <w:snapToGrid w:val="0"/>
        <w:spacing w:after="240" w:line="360" w:lineRule="auto"/>
        <w:ind w:left="360"/>
        <w:contextualSpacing w:val="0"/>
        <w:jc w:val="both"/>
        <w:rPr>
          <w:rFonts w:ascii="Arial" w:hAnsi="Arial" w:cs="Arial"/>
          <w:sz w:val="20"/>
          <w:szCs w:val="20"/>
          <w:lang w:val="es-ES_tradnl"/>
        </w:rPr>
      </w:pPr>
      <w:r>
        <w:rPr>
          <w:rFonts w:ascii="Arial" w:hAnsi="Arial" w:cs="Arial"/>
          <w:sz w:val="20"/>
          <w:szCs w:val="20"/>
          <w:lang w:val="es-ES_tradnl"/>
        </w:rPr>
        <w:t>Competencia originaria. Ingresos brutos. Alícuotas diferenciales</w:t>
      </w:r>
      <w:r w:rsidR="00C138F8">
        <w:rPr>
          <w:rFonts w:ascii="Arial" w:hAnsi="Arial" w:cs="Arial"/>
          <w:sz w:val="20"/>
          <w:szCs w:val="20"/>
          <w:lang w:val="es-ES_tradnl"/>
        </w:rPr>
        <w:t xml:space="preserve">. Rechazo medida cautelar. Corrida de vista. </w:t>
      </w:r>
    </w:p>
    <w:p w14:paraId="593A2CDF" w14:textId="77777777" w:rsidR="00C809A1" w:rsidRDefault="00C809A1" w:rsidP="000C05AB">
      <w:pPr>
        <w:pStyle w:val="Prrafodelista"/>
        <w:snapToGrid w:val="0"/>
        <w:spacing w:after="240" w:line="360" w:lineRule="auto"/>
        <w:ind w:left="360"/>
        <w:contextualSpacing w:val="0"/>
        <w:jc w:val="both"/>
        <w:rPr>
          <w:rFonts w:ascii="Arial" w:hAnsi="Arial" w:cs="Arial"/>
          <w:sz w:val="20"/>
          <w:szCs w:val="20"/>
          <w:lang w:val="es-ES_tradnl"/>
        </w:rPr>
      </w:pPr>
    </w:p>
    <w:p w14:paraId="420B284C" w14:textId="1A992EF8" w:rsidR="00671A73" w:rsidRPr="00341ED4" w:rsidRDefault="000E64D8" w:rsidP="00671A73">
      <w:pPr>
        <w:pStyle w:val="Prrafodelista"/>
        <w:numPr>
          <w:ilvl w:val="0"/>
          <w:numId w:val="1"/>
        </w:numPr>
        <w:snapToGrid w:val="0"/>
        <w:spacing w:after="240" w:line="360" w:lineRule="auto"/>
        <w:contextualSpacing w:val="0"/>
        <w:jc w:val="both"/>
        <w:rPr>
          <w:rFonts w:ascii="Arial" w:hAnsi="Arial" w:cs="Arial"/>
          <w:b/>
          <w:bCs/>
          <w:sz w:val="20"/>
          <w:szCs w:val="20"/>
          <w:lang w:val="es-ES_tradnl"/>
        </w:rPr>
      </w:pPr>
      <w:r>
        <w:rPr>
          <w:rFonts w:ascii="Arial" w:hAnsi="Arial" w:cs="Arial"/>
          <w:b/>
          <w:bCs/>
          <w:sz w:val="20"/>
          <w:szCs w:val="20"/>
          <w:lang w:val="es-ES_tradnl"/>
        </w:rPr>
        <w:t>Procuración General de la Nación</w:t>
      </w:r>
      <w:r w:rsidR="00671A73" w:rsidRPr="00341ED4">
        <w:rPr>
          <w:rFonts w:ascii="Arial" w:hAnsi="Arial" w:cs="Arial"/>
          <w:b/>
          <w:bCs/>
          <w:sz w:val="20"/>
          <w:szCs w:val="20"/>
          <w:lang w:val="es-ES_tradnl"/>
        </w:rPr>
        <w:t xml:space="preserve">. </w:t>
      </w:r>
      <w:r>
        <w:rPr>
          <w:rFonts w:ascii="Arial" w:hAnsi="Arial" w:cs="Arial"/>
          <w:b/>
          <w:bCs/>
          <w:sz w:val="20"/>
          <w:szCs w:val="20"/>
          <w:lang w:val="es-ES_tradnl"/>
        </w:rPr>
        <w:t>“</w:t>
      </w:r>
      <w:r w:rsidRPr="000E64D8">
        <w:rPr>
          <w:rFonts w:ascii="Arial" w:hAnsi="Arial" w:cs="Arial"/>
          <w:b/>
          <w:bCs/>
          <w:i/>
          <w:iCs/>
          <w:sz w:val="20"/>
          <w:szCs w:val="20"/>
          <w:lang w:val="es-ES_tradnl"/>
        </w:rPr>
        <w:t>INCIDENTE Nº 1 – ACTOR: ASOCIACION DE BANCOS ARGENTINOS s/ incidente de medida cautelar</w:t>
      </w:r>
      <w:r>
        <w:rPr>
          <w:rFonts w:ascii="Arial" w:hAnsi="Arial" w:cs="Arial"/>
          <w:b/>
          <w:bCs/>
          <w:i/>
          <w:iCs/>
          <w:sz w:val="20"/>
          <w:szCs w:val="20"/>
          <w:lang w:val="es-ES_tradnl"/>
        </w:rPr>
        <w:t>”</w:t>
      </w:r>
      <w:r w:rsidRPr="000E64D8">
        <w:rPr>
          <w:rFonts w:ascii="Arial" w:hAnsi="Arial" w:cs="Arial"/>
          <w:b/>
          <w:bCs/>
          <w:i/>
          <w:iCs/>
          <w:sz w:val="20"/>
          <w:szCs w:val="20"/>
          <w:lang w:val="es-ES_tradnl"/>
        </w:rPr>
        <w:t>.</w:t>
      </w:r>
      <w:r w:rsidRPr="000E64D8">
        <w:rPr>
          <w:rFonts w:ascii="Arial" w:hAnsi="Arial" w:cs="Arial"/>
          <w:b/>
          <w:bCs/>
          <w:i/>
          <w:iCs/>
          <w:sz w:val="20"/>
          <w:szCs w:val="20"/>
          <w:lang w:val="es-ES_tradnl"/>
        </w:rPr>
        <w:t xml:space="preserve"> </w:t>
      </w:r>
      <w:r w:rsidR="00671A73" w:rsidRPr="00341ED4">
        <w:rPr>
          <w:rFonts w:ascii="Arial" w:hAnsi="Arial" w:cs="Arial"/>
          <w:b/>
          <w:bCs/>
          <w:i/>
          <w:iCs/>
          <w:sz w:val="20"/>
          <w:szCs w:val="20"/>
          <w:lang w:val="es-ES_tradnl"/>
        </w:rPr>
        <w:t>(</w:t>
      </w:r>
      <w:r w:rsidR="00782540">
        <w:rPr>
          <w:rFonts w:ascii="Arial" w:hAnsi="Arial" w:cs="Arial"/>
          <w:b/>
          <w:bCs/>
          <w:i/>
          <w:iCs/>
          <w:sz w:val="20"/>
          <w:szCs w:val="20"/>
          <w:lang w:val="es-ES_tradnl"/>
        </w:rPr>
        <w:t>24</w:t>
      </w:r>
      <w:r w:rsidR="00671A73" w:rsidRPr="00341ED4">
        <w:rPr>
          <w:rFonts w:ascii="Arial" w:hAnsi="Arial" w:cs="Arial"/>
          <w:b/>
          <w:bCs/>
          <w:i/>
          <w:iCs/>
          <w:sz w:val="20"/>
          <w:szCs w:val="20"/>
          <w:lang w:val="es-ES_tradnl"/>
        </w:rPr>
        <w:t>/0</w:t>
      </w:r>
      <w:r w:rsidR="00782540">
        <w:rPr>
          <w:rFonts w:ascii="Arial" w:hAnsi="Arial" w:cs="Arial"/>
          <w:b/>
          <w:bCs/>
          <w:i/>
          <w:iCs/>
          <w:sz w:val="20"/>
          <w:szCs w:val="20"/>
          <w:lang w:val="es-ES_tradnl"/>
        </w:rPr>
        <w:t>4</w:t>
      </w:r>
      <w:r w:rsidR="00671A73" w:rsidRPr="00341ED4">
        <w:rPr>
          <w:rFonts w:ascii="Arial" w:hAnsi="Arial" w:cs="Arial"/>
          <w:b/>
          <w:bCs/>
          <w:i/>
          <w:iCs/>
          <w:sz w:val="20"/>
          <w:szCs w:val="20"/>
          <w:lang w:val="es-ES_tradnl"/>
        </w:rPr>
        <w:t>/202</w:t>
      </w:r>
      <w:r w:rsidR="00671A73">
        <w:rPr>
          <w:rFonts w:ascii="Arial" w:hAnsi="Arial" w:cs="Arial"/>
          <w:b/>
          <w:bCs/>
          <w:i/>
          <w:iCs/>
          <w:sz w:val="20"/>
          <w:szCs w:val="20"/>
          <w:lang w:val="es-ES_tradnl"/>
        </w:rPr>
        <w:t>4</w:t>
      </w:r>
      <w:r w:rsidR="00671A73" w:rsidRPr="00341ED4">
        <w:rPr>
          <w:rFonts w:ascii="Arial" w:hAnsi="Arial" w:cs="Arial"/>
          <w:b/>
          <w:bCs/>
          <w:i/>
          <w:iCs/>
          <w:sz w:val="20"/>
          <w:szCs w:val="20"/>
          <w:lang w:val="es-ES_tradnl"/>
        </w:rPr>
        <w:t>)”</w:t>
      </w:r>
      <w:r w:rsidR="00671A73" w:rsidRPr="00341ED4">
        <w:rPr>
          <w:rFonts w:ascii="Arial" w:hAnsi="Arial" w:cs="Arial"/>
          <w:b/>
          <w:bCs/>
          <w:sz w:val="20"/>
          <w:szCs w:val="20"/>
          <w:lang w:val="es-ES_tradnl"/>
        </w:rPr>
        <w:t xml:space="preserve">. </w:t>
      </w:r>
      <w:r w:rsidR="00671A73">
        <w:rPr>
          <w:rFonts w:ascii="Arial" w:hAnsi="Arial" w:cs="Arial"/>
          <w:b/>
          <w:bCs/>
          <w:sz w:val="20"/>
          <w:szCs w:val="20"/>
          <w:lang w:val="es-ES_tradnl"/>
        </w:rPr>
        <w:t>Impuesto sobre los Ingresos Brutos</w:t>
      </w:r>
      <w:r w:rsidR="00671A73" w:rsidRPr="00341ED4">
        <w:rPr>
          <w:rFonts w:ascii="Arial" w:hAnsi="Arial" w:cs="Arial"/>
          <w:b/>
          <w:bCs/>
          <w:sz w:val="20"/>
          <w:szCs w:val="20"/>
          <w:lang w:val="es-ES_tradnl"/>
        </w:rPr>
        <w:t>.</w:t>
      </w:r>
      <w:r w:rsidR="00AF0939">
        <w:rPr>
          <w:rFonts w:ascii="Arial" w:hAnsi="Arial" w:cs="Arial"/>
          <w:b/>
          <w:bCs/>
          <w:sz w:val="20"/>
          <w:szCs w:val="20"/>
          <w:lang w:val="es-ES_tradnl"/>
        </w:rPr>
        <w:t xml:space="preserve"> Competencia Originaria</w:t>
      </w:r>
      <w:r w:rsidR="002B0ACD">
        <w:rPr>
          <w:rFonts w:ascii="Arial" w:hAnsi="Arial" w:cs="Arial"/>
          <w:b/>
          <w:bCs/>
          <w:sz w:val="20"/>
          <w:szCs w:val="20"/>
          <w:lang w:val="es-ES_tradnl"/>
        </w:rPr>
        <w:t>.</w:t>
      </w:r>
    </w:p>
    <w:p w14:paraId="66E2A00A" w14:textId="51366662" w:rsidR="001C4A09" w:rsidRDefault="00782540" w:rsidP="000C05AB">
      <w:pPr>
        <w:pStyle w:val="Prrafodelista"/>
        <w:snapToGrid w:val="0"/>
        <w:spacing w:after="240" w:line="360" w:lineRule="auto"/>
        <w:ind w:left="360"/>
        <w:contextualSpacing w:val="0"/>
        <w:jc w:val="both"/>
        <w:rPr>
          <w:rFonts w:ascii="Arial" w:hAnsi="Arial" w:cs="Arial"/>
          <w:sz w:val="20"/>
          <w:szCs w:val="20"/>
          <w:lang w:val="es-ES_tradnl"/>
        </w:rPr>
      </w:pPr>
      <w:r>
        <w:rPr>
          <w:rFonts w:ascii="Arial" w:hAnsi="Arial" w:cs="Arial"/>
          <w:sz w:val="20"/>
          <w:szCs w:val="20"/>
          <w:lang w:val="es-ES_tradnl"/>
        </w:rPr>
        <w:t>L</w:t>
      </w:r>
      <w:r w:rsidR="00CD73CD">
        <w:rPr>
          <w:rFonts w:ascii="Arial" w:hAnsi="Arial" w:cs="Arial"/>
          <w:sz w:val="20"/>
          <w:szCs w:val="20"/>
          <w:lang w:val="es-ES_tradnl"/>
        </w:rPr>
        <w:t>a</w:t>
      </w:r>
      <w:r>
        <w:rPr>
          <w:rFonts w:ascii="Arial" w:hAnsi="Arial" w:cs="Arial"/>
          <w:sz w:val="20"/>
          <w:szCs w:val="20"/>
          <w:lang w:val="es-ES_tradnl"/>
        </w:rPr>
        <w:t xml:space="preserve"> Asociación de Bancos de la República Argentina en litisconsorcio con sus bancos adheridos inició acción declarativa de certeza </w:t>
      </w:r>
      <w:r w:rsidR="00A76B8B">
        <w:rPr>
          <w:rFonts w:ascii="Arial" w:hAnsi="Arial" w:cs="Arial"/>
          <w:sz w:val="20"/>
          <w:szCs w:val="20"/>
          <w:lang w:val="es-ES_tradnl"/>
        </w:rPr>
        <w:t xml:space="preserve">contra la Provincia de Buenos Aires </w:t>
      </w:r>
      <w:r w:rsidR="00CD73CD" w:rsidRPr="00CD73CD">
        <w:rPr>
          <w:rFonts w:ascii="Arial" w:hAnsi="Arial" w:cs="Arial"/>
          <w:sz w:val="20"/>
          <w:szCs w:val="20"/>
          <w:lang w:val="es-ES_tradnl"/>
        </w:rPr>
        <w:t>a fin de obtener que se haga cesar el estado de incertidumbre</w:t>
      </w:r>
      <w:r w:rsidR="001C4A09">
        <w:rPr>
          <w:rFonts w:ascii="Arial" w:hAnsi="Arial" w:cs="Arial"/>
          <w:sz w:val="20"/>
          <w:szCs w:val="20"/>
          <w:lang w:val="es-ES_tradnl"/>
        </w:rPr>
        <w:t xml:space="preserve"> de las </w:t>
      </w:r>
      <w:r w:rsidR="001C4A09" w:rsidRPr="001C4A09">
        <w:rPr>
          <w:rFonts w:ascii="Arial" w:hAnsi="Arial" w:cs="Arial"/>
          <w:sz w:val="20"/>
          <w:szCs w:val="20"/>
          <w:lang w:val="es-ES_tradnl"/>
        </w:rPr>
        <w:t>disposiciones legales en cuanto establecen que los resultados de las operaciones de pases pasivos concertadas entre las entidades financieras y el Banco Central de la República Argentina  se encuentran gravadas con el impuesto sobre los ingresos brutos bajo una alícuota del 9%; pretensión que estiman ilegítima en razón de que —en su parecer— la Provincia carece de facultades para afectar tributariamente ese tipo de operaciones</w:t>
      </w:r>
      <w:r w:rsidR="001C4A09">
        <w:rPr>
          <w:rFonts w:ascii="Arial" w:hAnsi="Arial" w:cs="Arial"/>
          <w:sz w:val="20"/>
          <w:szCs w:val="20"/>
          <w:lang w:val="es-ES_tradnl"/>
        </w:rPr>
        <w:t>.</w:t>
      </w:r>
      <w:r w:rsidR="00D6136D">
        <w:rPr>
          <w:rFonts w:ascii="Arial" w:hAnsi="Arial" w:cs="Arial"/>
          <w:sz w:val="20"/>
          <w:szCs w:val="20"/>
          <w:lang w:val="es-ES_tradnl"/>
        </w:rPr>
        <w:t xml:space="preserve"> L</w:t>
      </w:r>
      <w:r w:rsidR="00D6136D" w:rsidRPr="00D6136D">
        <w:rPr>
          <w:rFonts w:ascii="Arial" w:hAnsi="Arial" w:cs="Arial"/>
          <w:sz w:val="20"/>
          <w:szCs w:val="20"/>
          <w:lang w:val="es-ES_tradnl"/>
        </w:rPr>
        <w:t>o medular del planteo exige esencial e ineludiblemente determinar, en forma previa, si la pretensión tributaria de la Provincia de Buenos Aires de gravar con el impuesto sobre los ingresos brutos los resultados de las operaciones de pases pasivos concertadas entre las entidades financieras y el Banco Central de la República Argentina (BCRA) afecta el ejercicio de facultades exclusivas del Gobierno federal en materia de política monetaria y de regulación de la actividad bancaria (conf. art. 75, incs. 4°, 6°, 7°, 11, 18, 19 y 32, de la Constitución Nacional; leyes 21.526 y 24.144), disposiciones de naturaleza federal</w:t>
      </w:r>
      <w:r w:rsidR="00D6136D">
        <w:rPr>
          <w:rFonts w:ascii="Arial" w:hAnsi="Arial" w:cs="Arial"/>
          <w:sz w:val="20"/>
          <w:szCs w:val="20"/>
          <w:lang w:val="es-ES_tradnl"/>
        </w:rPr>
        <w:t>.</w:t>
      </w:r>
    </w:p>
    <w:p w14:paraId="0BBA04AE" w14:textId="2220FD91" w:rsidR="001C4A09" w:rsidRDefault="00AF0939" w:rsidP="000C05AB">
      <w:pPr>
        <w:pStyle w:val="Prrafodelista"/>
        <w:snapToGrid w:val="0"/>
        <w:spacing w:after="240" w:line="360" w:lineRule="auto"/>
        <w:ind w:left="360"/>
        <w:contextualSpacing w:val="0"/>
        <w:jc w:val="both"/>
        <w:rPr>
          <w:rFonts w:ascii="Arial" w:hAnsi="Arial" w:cs="Arial"/>
          <w:sz w:val="20"/>
          <w:szCs w:val="20"/>
          <w:lang w:val="es-ES_tradnl"/>
        </w:rPr>
      </w:pPr>
      <w:r>
        <w:rPr>
          <w:rFonts w:ascii="Arial" w:hAnsi="Arial" w:cs="Arial"/>
          <w:sz w:val="20"/>
          <w:szCs w:val="20"/>
          <w:lang w:val="es-ES_tradnl"/>
        </w:rPr>
        <w:t>Entiende que es competencia originaria de la CSJN.</w:t>
      </w:r>
    </w:p>
    <w:p w14:paraId="405A3B55" w14:textId="77777777" w:rsidR="001C4A09" w:rsidRDefault="001C4A09" w:rsidP="000C05AB">
      <w:pPr>
        <w:pStyle w:val="Prrafodelista"/>
        <w:snapToGrid w:val="0"/>
        <w:spacing w:after="240" w:line="360" w:lineRule="auto"/>
        <w:ind w:left="360"/>
        <w:contextualSpacing w:val="0"/>
        <w:jc w:val="both"/>
        <w:rPr>
          <w:rFonts w:ascii="Arial" w:hAnsi="Arial" w:cs="Arial"/>
          <w:sz w:val="20"/>
          <w:szCs w:val="20"/>
          <w:lang w:val="es-ES_tradnl"/>
        </w:rPr>
      </w:pPr>
    </w:p>
    <w:p w14:paraId="2ECD53C3" w14:textId="24FAB7C1" w:rsidR="002B0ACD" w:rsidRPr="00341ED4" w:rsidRDefault="002B0ACD" w:rsidP="002B0ACD">
      <w:pPr>
        <w:pStyle w:val="Prrafodelista"/>
        <w:numPr>
          <w:ilvl w:val="0"/>
          <w:numId w:val="1"/>
        </w:numPr>
        <w:snapToGrid w:val="0"/>
        <w:spacing w:after="240" w:line="360" w:lineRule="auto"/>
        <w:contextualSpacing w:val="0"/>
        <w:jc w:val="both"/>
        <w:rPr>
          <w:rFonts w:ascii="Arial" w:hAnsi="Arial" w:cs="Arial"/>
          <w:b/>
          <w:bCs/>
          <w:sz w:val="20"/>
          <w:szCs w:val="20"/>
          <w:lang w:val="es-ES_tradnl"/>
        </w:rPr>
      </w:pPr>
      <w:r>
        <w:rPr>
          <w:rFonts w:ascii="Arial" w:hAnsi="Arial" w:cs="Arial"/>
          <w:b/>
          <w:bCs/>
          <w:sz w:val="20"/>
          <w:szCs w:val="20"/>
          <w:lang w:val="es-ES_tradnl"/>
        </w:rPr>
        <w:lastRenderedPageBreak/>
        <w:t>Suprema Corte de Justicia de la Provincia de Buenos Aires</w:t>
      </w:r>
      <w:r w:rsidRPr="00341ED4">
        <w:rPr>
          <w:rFonts w:ascii="Arial" w:hAnsi="Arial" w:cs="Arial"/>
          <w:b/>
          <w:bCs/>
          <w:sz w:val="20"/>
          <w:szCs w:val="20"/>
          <w:lang w:val="es-ES_tradnl"/>
        </w:rPr>
        <w:t xml:space="preserve">. </w:t>
      </w:r>
      <w:r>
        <w:rPr>
          <w:rFonts w:ascii="Arial" w:hAnsi="Arial" w:cs="Arial"/>
          <w:b/>
          <w:bCs/>
          <w:sz w:val="20"/>
          <w:szCs w:val="20"/>
          <w:lang w:val="es-ES_tradnl"/>
        </w:rPr>
        <w:t>“</w:t>
      </w:r>
      <w:r w:rsidRPr="002B0ACD">
        <w:rPr>
          <w:rFonts w:ascii="Arial" w:hAnsi="Arial" w:cs="Arial"/>
          <w:b/>
          <w:bCs/>
          <w:i/>
          <w:iCs/>
          <w:sz w:val="20"/>
          <w:szCs w:val="20"/>
          <w:lang w:val="es-ES_tradnl"/>
        </w:rPr>
        <w:t>"Unibike S.A. contra ARBA. Pretensión Anulatoria. Recurso Extraordinario de Inaplicabilidad de Ley"</w:t>
      </w:r>
      <w:r w:rsidRPr="000E64D8">
        <w:rPr>
          <w:rFonts w:ascii="Arial" w:hAnsi="Arial" w:cs="Arial"/>
          <w:b/>
          <w:bCs/>
          <w:i/>
          <w:iCs/>
          <w:sz w:val="20"/>
          <w:szCs w:val="20"/>
          <w:lang w:val="es-ES_tradnl"/>
        </w:rPr>
        <w:t xml:space="preserve">. </w:t>
      </w:r>
      <w:r w:rsidRPr="00341ED4">
        <w:rPr>
          <w:rFonts w:ascii="Arial" w:hAnsi="Arial" w:cs="Arial"/>
          <w:b/>
          <w:bCs/>
          <w:i/>
          <w:iCs/>
          <w:sz w:val="20"/>
          <w:szCs w:val="20"/>
          <w:lang w:val="es-ES_tradnl"/>
        </w:rPr>
        <w:t>(</w:t>
      </w:r>
      <w:r w:rsidR="00357AE9">
        <w:rPr>
          <w:rFonts w:ascii="Arial" w:hAnsi="Arial" w:cs="Arial"/>
          <w:b/>
          <w:bCs/>
          <w:i/>
          <w:iCs/>
          <w:sz w:val="20"/>
          <w:szCs w:val="20"/>
          <w:lang w:val="es-ES_tradnl"/>
        </w:rPr>
        <w:t>19</w:t>
      </w:r>
      <w:r w:rsidRPr="00341ED4">
        <w:rPr>
          <w:rFonts w:ascii="Arial" w:hAnsi="Arial" w:cs="Arial"/>
          <w:b/>
          <w:bCs/>
          <w:i/>
          <w:iCs/>
          <w:sz w:val="20"/>
          <w:szCs w:val="20"/>
          <w:lang w:val="es-ES_tradnl"/>
        </w:rPr>
        <w:t>/0</w:t>
      </w:r>
      <w:r>
        <w:rPr>
          <w:rFonts w:ascii="Arial" w:hAnsi="Arial" w:cs="Arial"/>
          <w:b/>
          <w:bCs/>
          <w:i/>
          <w:iCs/>
          <w:sz w:val="20"/>
          <w:szCs w:val="20"/>
          <w:lang w:val="es-ES_tradnl"/>
        </w:rPr>
        <w:t>4</w:t>
      </w:r>
      <w:r w:rsidRPr="00341ED4">
        <w:rPr>
          <w:rFonts w:ascii="Arial" w:hAnsi="Arial" w:cs="Arial"/>
          <w:b/>
          <w:bCs/>
          <w:i/>
          <w:iCs/>
          <w:sz w:val="20"/>
          <w:szCs w:val="20"/>
          <w:lang w:val="es-ES_tradnl"/>
        </w:rPr>
        <w:t>/202</w:t>
      </w:r>
      <w:r>
        <w:rPr>
          <w:rFonts w:ascii="Arial" w:hAnsi="Arial" w:cs="Arial"/>
          <w:b/>
          <w:bCs/>
          <w:i/>
          <w:iCs/>
          <w:sz w:val="20"/>
          <w:szCs w:val="20"/>
          <w:lang w:val="es-ES_tradnl"/>
        </w:rPr>
        <w:t>4</w:t>
      </w:r>
      <w:r w:rsidRPr="00341ED4">
        <w:rPr>
          <w:rFonts w:ascii="Arial" w:hAnsi="Arial" w:cs="Arial"/>
          <w:b/>
          <w:bCs/>
          <w:i/>
          <w:iCs/>
          <w:sz w:val="20"/>
          <w:szCs w:val="20"/>
          <w:lang w:val="es-ES_tradnl"/>
        </w:rPr>
        <w:t>)”</w:t>
      </w:r>
      <w:r w:rsidRPr="00341ED4">
        <w:rPr>
          <w:rFonts w:ascii="Arial" w:hAnsi="Arial" w:cs="Arial"/>
          <w:b/>
          <w:bCs/>
          <w:sz w:val="20"/>
          <w:szCs w:val="20"/>
          <w:lang w:val="es-ES_tradnl"/>
        </w:rPr>
        <w:t xml:space="preserve">. </w:t>
      </w:r>
      <w:r w:rsidR="00FC4A20">
        <w:rPr>
          <w:rFonts w:ascii="Arial" w:hAnsi="Arial" w:cs="Arial"/>
          <w:b/>
          <w:bCs/>
          <w:sz w:val="20"/>
          <w:szCs w:val="20"/>
          <w:lang w:val="es-ES_tradnl"/>
        </w:rPr>
        <w:t>Caducidad del Procedimiento ante el Tribunal Fiscal de Apelaciones.  Falta de pago de la contribución a la Caja de Abogados.</w:t>
      </w:r>
    </w:p>
    <w:p w14:paraId="5392B956" w14:textId="3B04EC34" w:rsidR="002B0ACD" w:rsidRDefault="00C76181" w:rsidP="000C05AB">
      <w:pPr>
        <w:pStyle w:val="Prrafodelista"/>
        <w:snapToGrid w:val="0"/>
        <w:spacing w:after="240" w:line="360" w:lineRule="auto"/>
        <w:ind w:left="360"/>
        <w:contextualSpacing w:val="0"/>
        <w:jc w:val="both"/>
        <w:rPr>
          <w:rFonts w:ascii="Arial" w:hAnsi="Arial" w:cs="Arial"/>
          <w:sz w:val="20"/>
          <w:szCs w:val="20"/>
          <w:lang w:val="es-ES_tradnl"/>
        </w:rPr>
      </w:pPr>
      <w:r>
        <w:rPr>
          <w:rFonts w:ascii="Arial" w:hAnsi="Arial" w:cs="Arial"/>
          <w:sz w:val="20"/>
          <w:szCs w:val="20"/>
          <w:lang w:val="es-ES_tradnl"/>
        </w:rPr>
        <w:t xml:space="preserve">Omisión del pago de la contribución. Formalismo moderado. </w:t>
      </w:r>
      <w:r w:rsidR="00843BDA">
        <w:rPr>
          <w:rFonts w:ascii="Arial" w:hAnsi="Arial" w:cs="Arial"/>
          <w:sz w:val="20"/>
          <w:szCs w:val="20"/>
          <w:lang w:val="es-ES_tradnl"/>
        </w:rPr>
        <w:t>Principios del derecho administrativo que rigen al procedimiento ante el Tribunal Fiscal.</w:t>
      </w:r>
      <w:r w:rsidR="009E4E32">
        <w:rPr>
          <w:rFonts w:ascii="Arial" w:hAnsi="Arial" w:cs="Arial"/>
          <w:sz w:val="20"/>
          <w:szCs w:val="20"/>
          <w:lang w:val="es-ES_tradnl"/>
        </w:rPr>
        <w:t xml:space="preserve"> Impulso de oficio. </w:t>
      </w:r>
      <w:r w:rsidR="002A1BA1">
        <w:rPr>
          <w:rFonts w:ascii="Arial" w:hAnsi="Arial" w:cs="Arial"/>
          <w:sz w:val="20"/>
          <w:szCs w:val="20"/>
          <w:lang w:val="es-ES_tradnl"/>
        </w:rPr>
        <w:t xml:space="preserve">Subsanación de deficiencias formales. </w:t>
      </w:r>
    </w:p>
    <w:p w14:paraId="3150C6B4" w14:textId="77777777" w:rsidR="001227CB" w:rsidRDefault="001227CB" w:rsidP="00115ECD">
      <w:pPr>
        <w:snapToGrid w:val="0"/>
        <w:spacing w:after="240" w:line="360" w:lineRule="auto"/>
        <w:ind w:left="360"/>
        <w:jc w:val="both"/>
        <w:rPr>
          <w:rFonts w:ascii="Arial" w:hAnsi="Arial" w:cs="Arial"/>
          <w:sz w:val="20"/>
          <w:szCs w:val="20"/>
          <w:lang w:val="es-ES_tradnl"/>
        </w:rPr>
      </w:pPr>
    </w:p>
    <w:p w14:paraId="1D64CB90" w14:textId="222BF3CA" w:rsidR="00A92EAB" w:rsidRPr="00341ED4" w:rsidRDefault="001B7DEC" w:rsidP="00A92EAB">
      <w:pPr>
        <w:pStyle w:val="Prrafodelista"/>
        <w:numPr>
          <w:ilvl w:val="0"/>
          <w:numId w:val="1"/>
        </w:numPr>
        <w:snapToGrid w:val="0"/>
        <w:spacing w:after="240" w:line="360" w:lineRule="auto"/>
        <w:contextualSpacing w:val="0"/>
        <w:jc w:val="both"/>
        <w:rPr>
          <w:rFonts w:ascii="Arial" w:hAnsi="Arial" w:cs="Arial"/>
          <w:b/>
          <w:bCs/>
          <w:sz w:val="20"/>
          <w:szCs w:val="20"/>
          <w:lang w:val="es-ES_tradnl"/>
        </w:rPr>
      </w:pPr>
      <w:r>
        <w:rPr>
          <w:rFonts w:ascii="Arial" w:hAnsi="Arial" w:cs="Arial"/>
          <w:b/>
          <w:bCs/>
          <w:sz w:val="20"/>
          <w:szCs w:val="20"/>
          <w:lang w:val="es-ES_tradnl"/>
        </w:rPr>
        <w:t>Juzgado de 1° Instancia en lo C</w:t>
      </w:r>
      <w:r w:rsidR="00802795">
        <w:rPr>
          <w:rFonts w:ascii="Arial" w:hAnsi="Arial" w:cs="Arial"/>
          <w:b/>
          <w:bCs/>
          <w:sz w:val="20"/>
          <w:szCs w:val="20"/>
          <w:lang w:val="es-ES_tradnl"/>
        </w:rPr>
        <w:t>o</w:t>
      </w:r>
      <w:r>
        <w:rPr>
          <w:rFonts w:ascii="Arial" w:hAnsi="Arial" w:cs="Arial"/>
          <w:b/>
          <w:bCs/>
          <w:sz w:val="20"/>
          <w:szCs w:val="20"/>
          <w:lang w:val="es-ES_tradnl"/>
        </w:rPr>
        <w:t xml:space="preserve">nt. Adm y </w:t>
      </w:r>
      <w:r w:rsidR="00802795">
        <w:rPr>
          <w:rFonts w:ascii="Arial" w:hAnsi="Arial" w:cs="Arial"/>
          <w:b/>
          <w:bCs/>
          <w:sz w:val="20"/>
          <w:szCs w:val="20"/>
          <w:lang w:val="es-ES_tradnl"/>
        </w:rPr>
        <w:t>Tributaria</w:t>
      </w:r>
      <w:r>
        <w:rPr>
          <w:rFonts w:ascii="Arial" w:hAnsi="Arial" w:cs="Arial"/>
          <w:b/>
          <w:bCs/>
          <w:sz w:val="20"/>
          <w:szCs w:val="20"/>
          <w:lang w:val="es-ES_tradnl"/>
        </w:rPr>
        <w:t xml:space="preserve"> N° 8, Secretaría </w:t>
      </w:r>
      <w:r w:rsidR="003903C3">
        <w:rPr>
          <w:rFonts w:ascii="Arial" w:hAnsi="Arial" w:cs="Arial"/>
          <w:b/>
          <w:bCs/>
          <w:sz w:val="20"/>
          <w:szCs w:val="20"/>
          <w:lang w:val="es-ES_tradnl"/>
        </w:rPr>
        <w:t>N</w:t>
      </w:r>
      <w:r>
        <w:rPr>
          <w:rFonts w:ascii="Arial" w:hAnsi="Arial" w:cs="Arial"/>
          <w:b/>
          <w:bCs/>
          <w:sz w:val="20"/>
          <w:szCs w:val="20"/>
          <w:lang w:val="es-ES_tradnl"/>
        </w:rPr>
        <w:t>° 15.</w:t>
      </w:r>
      <w:r w:rsidR="00A92EAB" w:rsidRPr="00341ED4">
        <w:rPr>
          <w:rFonts w:ascii="Arial" w:hAnsi="Arial" w:cs="Arial"/>
          <w:b/>
          <w:bCs/>
          <w:sz w:val="20"/>
          <w:szCs w:val="20"/>
          <w:lang w:val="es-ES_tradnl"/>
        </w:rPr>
        <w:t xml:space="preserve"> </w:t>
      </w:r>
      <w:r w:rsidR="007F2B7F">
        <w:rPr>
          <w:rFonts w:ascii="Arial" w:hAnsi="Arial" w:cs="Arial"/>
          <w:b/>
          <w:bCs/>
          <w:sz w:val="20"/>
          <w:szCs w:val="20"/>
          <w:lang w:val="es-ES_tradnl"/>
        </w:rPr>
        <w:t>“GCBA c/Iron Mountain Argenitna S.A. s/Ejecución Fiscal -</w:t>
      </w:r>
      <w:r w:rsidR="00375C9B">
        <w:rPr>
          <w:rFonts w:ascii="Arial" w:hAnsi="Arial" w:cs="Arial"/>
          <w:b/>
          <w:bCs/>
          <w:sz w:val="20"/>
          <w:szCs w:val="20"/>
          <w:lang w:val="es-ES_tradnl"/>
        </w:rPr>
        <w:t xml:space="preserve"> </w:t>
      </w:r>
      <w:r w:rsidR="007F2B7F">
        <w:rPr>
          <w:rFonts w:ascii="Arial" w:hAnsi="Arial" w:cs="Arial"/>
          <w:b/>
          <w:bCs/>
          <w:sz w:val="20"/>
          <w:szCs w:val="20"/>
          <w:lang w:val="es-ES_tradnl"/>
        </w:rPr>
        <w:t>ABL”</w:t>
      </w:r>
      <w:r w:rsidR="007F2B7F" w:rsidRPr="002B0ACD">
        <w:rPr>
          <w:rFonts w:ascii="Arial" w:hAnsi="Arial" w:cs="Arial"/>
          <w:b/>
          <w:bCs/>
          <w:i/>
          <w:iCs/>
          <w:sz w:val="20"/>
          <w:szCs w:val="20"/>
          <w:lang w:val="es-ES_tradnl"/>
        </w:rPr>
        <w:t xml:space="preserve"> </w:t>
      </w:r>
      <w:r w:rsidR="00A92EAB" w:rsidRPr="00341ED4">
        <w:rPr>
          <w:rFonts w:ascii="Arial" w:hAnsi="Arial" w:cs="Arial"/>
          <w:b/>
          <w:bCs/>
          <w:i/>
          <w:iCs/>
          <w:sz w:val="20"/>
          <w:szCs w:val="20"/>
          <w:lang w:val="es-ES_tradnl"/>
        </w:rPr>
        <w:t>(</w:t>
      </w:r>
      <w:r w:rsidR="00A92EAB">
        <w:rPr>
          <w:rFonts w:ascii="Arial" w:hAnsi="Arial" w:cs="Arial"/>
          <w:b/>
          <w:bCs/>
          <w:i/>
          <w:iCs/>
          <w:sz w:val="20"/>
          <w:szCs w:val="20"/>
          <w:lang w:val="es-ES_tradnl"/>
        </w:rPr>
        <w:t>1</w:t>
      </w:r>
      <w:r w:rsidR="00A92EAB" w:rsidRPr="00341ED4">
        <w:rPr>
          <w:rFonts w:ascii="Arial" w:hAnsi="Arial" w:cs="Arial"/>
          <w:b/>
          <w:bCs/>
          <w:i/>
          <w:iCs/>
          <w:sz w:val="20"/>
          <w:szCs w:val="20"/>
          <w:lang w:val="es-ES_tradnl"/>
        </w:rPr>
        <w:t>/0</w:t>
      </w:r>
      <w:r w:rsidR="005B67CB">
        <w:rPr>
          <w:rFonts w:ascii="Arial" w:hAnsi="Arial" w:cs="Arial"/>
          <w:b/>
          <w:bCs/>
          <w:i/>
          <w:iCs/>
          <w:sz w:val="20"/>
          <w:szCs w:val="20"/>
          <w:lang w:val="es-ES_tradnl"/>
        </w:rPr>
        <w:t>3</w:t>
      </w:r>
      <w:r w:rsidR="00A92EAB" w:rsidRPr="00341ED4">
        <w:rPr>
          <w:rFonts w:ascii="Arial" w:hAnsi="Arial" w:cs="Arial"/>
          <w:b/>
          <w:bCs/>
          <w:i/>
          <w:iCs/>
          <w:sz w:val="20"/>
          <w:szCs w:val="20"/>
          <w:lang w:val="es-ES_tradnl"/>
        </w:rPr>
        <w:t>/202</w:t>
      </w:r>
      <w:r w:rsidR="00A92EAB">
        <w:rPr>
          <w:rFonts w:ascii="Arial" w:hAnsi="Arial" w:cs="Arial"/>
          <w:b/>
          <w:bCs/>
          <w:i/>
          <w:iCs/>
          <w:sz w:val="20"/>
          <w:szCs w:val="20"/>
          <w:lang w:val="es-ES_tradnl"/>
        </w:rPr>
        <w:t>4</w:t>
      </w:r>
      <w:r w:rsidR="00A92EAB" w:rsidRPr="00341ED4">
        <w:rPr>
          <w:rFonts w:ascii="Arial" w:hAnsi="Arial" w:cs="Arial"/>
          <w:b/>
          <w:bCs/>
          <w:i/>
          <w:iCs/>
          <w:sz w:val="20"/>
          <w:szCs w:val="20"/>
          <w:lang w:val="es-ES_tradnl"/>
        </w:rPr>
        <w:t>)”</w:t>
      </w:r>
      <w:r w:rsidR="00A92EAB" w:rsidRPr="00341ED4">
        <w:rPr>
          <w:rFonts w:ascii="Arial" w:hAnsi="Arial" w:cs="Arial"/>
          <w:b/>
          <w:bCs/>
          <w:sz w:val="20"/>
          <w:szCs w:val="20"/>
          <w:lang w:val="es-ES_tradnl"/>
        </w:rPr>
        <w:t xml:space="preserve">. </w:t>
      </w:r>
      <w:r w:rsidR="005B67CB">
        <w:rPr>
          <w:rFonts w:ascii="Arial" w:hAnsi="Arial" w:cs="Arial"/>
          <w:b/>
          <w:bCs/>
          <w:sz w:val="20"/>
          <w:szCs w:val="20"/>
          <w:lang w:val="es-ES_tradnl"/>
        </w:rPr>
        <w:t xml:space="preserve">Ejecución Fiscal. </w:t>
      </w:r>
      <w:r w:rsidR="00744727">
        <w:rPr>
          <w:rFonts w:ascii="Arial" w:hAnsi="Arial" w:cs="Arial"/>
          <w:b/>
          <w:bCs/>
          <w:sz w:val="20"/>
          <w:szCs w:val="20"/>
          <w:lang w:val="es-ES_tradnl"/>
        </w:rPr>
        <w:t>Inhabil</w:t>
      </w:r>
      <w:r w:rsidR="00021B13">
        <w:rPr>
          <w:rFonts w:ascii="Arial" w:hAnsi="Arial" w:cs="Arial"/>
          <w:b/>
          <w:bCs/>
          <w:sz w:val="20"/>
          <w:szCs w:val="20"/>
          <w:lang w:val="es-ES_tradnl"/>
        </w:rPr>
        <w:t>idad de Título. Empresas TIC</w:t>
      </w:r>
      <w:r w:rsidR="00A92EAB">
        <w:rPr>
          <w:rFonts w:ascii="Arial" w:hAnsi="Arial" w:cs="Arial"/>
          <w:b/>
          <w:bCs/>
          <w:sz w:val="20"/>
          <w:szCs w:val="20"/>
          <w:lang w:val="es-ES_tradnl"/>
        </w:rPr>
        <w:t>.</w:t>
      </w:r>
    </w:p>
    <w:p w14:paraId="0CEBFBC4" w14:textId="610D230A" w:rsidR="00A92EAB" w:rsidRDefault="00C809A9" w:rsidP="00115ECD">
      <w:pPr>
        <w:snapToGrid w:val="0"/>
        <w:spacing w:after="240" w:line="360" w:lineRule="auto"/>
        <w:ind w:left="360"/>
        <w:jc w:val="both"/>
        <w:rPr>
          <w:rFonts w:ascii="Arial" w:hAnsi="Arial" w:cs="Arial"/>
          <w:sz w:val="20"/>
          <w:szCs w:val="20"/>
          <w:lang w:val="es-ES_tradnl"/>
        </w:rPr>
      </w:pPr>
      <w:r>
        <w:rPr>
          <w:rFonts w:ascii="Arial" w:hAnsi="Arial" w:cs="Arial"/>
          <w:sz w:val="20"/>
          <w:szCs w:val="20"/>
          <w:lang w:val="es-ES_tradnl"/>
        </w:rPr>
        <w:t xml:space="preserve">Excepción de inhabilidad de </w:t>
      </w:r>
      <w:r w:rsidR="007C783B">
        <w:rPr>
          <w:rFonts w:ascii="Arial" w:hAnsi="Arial" w:cs="Arial"/>
          <w:sz w:val="20"/>
          <w:szCs w:val="20"/>
          <w:lang w:val="es-ES_tradnl"/>
        </w:rPr>
        <w:t>título. Empresas tecnológicas.  Inscripción en el registro. Se hace lugar a la excepción.</w:t>
      </w:r>
    </w:p>
    <w:p w14:paraId="55C2B1F0" w14:textId="77777777" w:rsidR="00716457" w:rsidRDefault="00716457" w:rsidP="00115ECD">
      <w:pPr>
        <w:snapToGrid w:val="0"/>
        <w:spacing w:after="240" w:line="360" w:lineRule="auto"/>
        <w:ind w:left="360"/>
        <w:jc w:val="both"/>
        <w:rPr>
          <w:rFonts w:ascii="Arial" w:hAnsi="Arial" w:cs="Arial"/>
          <w:sz w:val="20"/>
          <w:szCs w:val="20"/>
          <w:lang w:val="es-ES_tradnl"/>
        </w:rPr>
      </w:pPr>
    </w:p>
    <w:p w14:paraId="09D8CCDE" w14:textId="36D51700" w:rsidR="001B775A" w:rsidRPr="00341ED4" w:rsidRDefault="001B775A" w:rsidP="001B775A">
      <w:pPr>
        <w:pStyle w:val="Prrafodelista"/>
        <w:numPr>
          <w:ilvl w:val="0"/>
          <w:numId w:val="1"/>
        </w:numPr>
        <w:snapToGrid w:val="0"/>
        <w:spacing w:after="240" w:line="360" w:lineRule="auto"/>
        <w:contextualSpacing w:val="0"/>
        <w:jc w:val="both"/>
        <w:rPr>
          <w:rFonts w:ascii="Arial" w:hAnsi="Arial" w:cs="Arial"/>
          <w:b/>
          <w:bCs/>
          <w:sz w:val="20"/>
          <w:szCs w:val="20"/>
          <w:lang w:val="es-ES_tradnl"/>
        </w:rPr>
      </w:pPr>
      <w:r>
        <w:rPr>
          <w:rFonts w:ascii="Arial" w:hAnsi="Arial" w:cs="Arial"/>
          <w:b/>
          <w:bCs/>
          <w:sz w:val="20"/>
          <w:szCs w:val="20"/>
          <w:lang w:val="es-ES_tradnl"/>
        </w:rPr>
        <w:t>Tribunal F</w:t>
      </w:r>
      <w:r w:rsidR="00225892">
        <w:rPr>
          <w:rFonts w:ascii="Arial" w:hAnsi="Arial" w:cs="Arial"/>
          <w:b/>
          <w:bCs/>
          <w:sz w:val="20"/>
          <w:szCs w:val="20"/>
          <w:lang w:val="es-ES_tradnl"/>
        </w:rPr>
        <w:t>iscal de la Provincia de Buenos</w:t>
      </w:r>
      <w:r>
        <w:rPr>
          <w:rFonts w:ascii="Arial" w:hAnsi="Arial" w:cs="Arial"/>
          <w:b/>
          <w:bCs/>
          <w:sz w:val="20"/>
          <w:szCs w:val="20"/>
          <w:lang w:val="es-ES_tradnl"/>
        </w:rPr>
        <w:t xml:space="preserve"> Aires</w:t>
      </w:r>
      <w:r w:rsidRPr="00341ED4">
        <w:rPr>
          <w:rFonts w:ascii="Arial" w:hAnsi="Arial" w:cs="Arial"/>
          <w:b/>
          <w:bCs/>
          <w:sz w:val="20"/>
          <w:szCs w:val="20"/>
          <w:lang w:val="es-ES_tradnl"/>
        </w:rPr>
        <w:t xml:space="preserve">. </w:t>
      </w:r>
      <w:r>
        <w:rPr>
          <w:rFonts w:ascii="Arial" w:hAnsi="Arial" w:cs="Arial"/>
          <w:b/>
          <w:bCs/>
          <w:sz w:val="20"/>
          <w:szCs w:val="20"/>
          <w:lang w:val="es-ES_tradnl"/>
        </w:rPr>
        <w:t>“</w:t>
      </w:r>
      <w:r w:rsidR="00492992">
        <w:rPr>
          <w:rFonts w:ascii="Arial" w:hAnsi="Arial" w:cs="Arial"/>
          <w:b/>
          <w:bCs/>
          <w:sz w:val="20"/>
          <w:szCs w:val="20"/>
          <w:lang w:val="es-ES_tradnl"/>
        </w:rPr>
        <w:t>Goldmund</w:t>
      </w:r>
      <w:r w:rsidR="0068625C">
        <w:rPr>
          <w:rFonts w:ascii="Arial" w:hAnsi="Arial" w:cs="Arial"/>
          <w:b/>
          <w:bCs/>
          <w:sz w:val="20"/>
          <w:szCs w:val="20"/>
          <w:lang w:val="es-ES_tradnl"/>
        </w:rPr>
        <w:t xml:space="preserve"> S.A.</w:t>
      </w:r>
      <w:r w:rsidR="00382B25">
        <w:rPr>
          <w:rFonts w:ascii="Arial" w:hAnsi="Arial" w:cs="Arial"/>
          <w:b/>
          <w:bCs/>
          <w:i/>
          <w:iCs/>
          <w:sz w:val="20"/>
          <w:szCs w:val="20"/>
          <w:lang w:val="es-ES_tradnl"/>
        </w:rPr>
        <w:t>”</w:t>
      </w:r>
      <w:r w:rsidRPr="000E64D8">
        <w:rPr>
          <w:rFonts w:ascii="Arial" w:hAnsi="Arial" w:cs="Arial"/>
          <w:b/>
          <w:bCs/>
          <w:i/>
          <w:iCs/>
          <w:sz w:val="20"/>
          <w:szCs w:val="20"/>
          <w:lang w:val="es-ES_tradnl"/>
        </w:rPr>
        <w:t xml:space="preserve"> </w:t>
      </w:r>
      <w:r w:rsidRPr="00341ED4">
        <w:rPr>
          <w:rFonts w:ascii="Arial" w:hAnsi="Arial" w:cs="Arial"/>
          <w:b/>
          <w:bCs/>
          <w:i/>
          <w:iCs/>
          <w:sz w:val="20"/>
          <w:szCs w:val="20"/>
          <w:lang w:val="es-ES_tradnl"/>
        </w:rPr>
        <w:t>(</w:t>
      </w:r>
      <w:r>
        <w:rPr>
          <w:rFonts w:ascii="Arial" w:hAnsi="Arial" w:cs="Arial"/>
          <w:b/>
          <w:bCs/>
          <w:i/>
          <w:iCs/>
          <w:sz w:val="20"/>
          <w:szCs w:val="20"/>
          <w:lang w:val="es-ES_tradnl"/>
        </w:rPr>
        <w:t>19</w:t>
      </w:r>
      <w:r w:rsidRPr="00341ED4">
        <w:rPr>
          <w:rFonts w:ascii="Arial" w:hAnsi="Arial" w:cs="Arial"/>
          <w:b/>
          <w:bCs/>
          <w:i/>
          <w:iCs/>
          <w:sz w:val="20"/>
          <w:szCs w:val="20"/>
          <w:lang w:val="es-ES_tradnl"/>
        </w:rPr>
        <w:t>/0</w:t>
      </w:r>
      <w:r>
        <w:rPr>
          <w:rFonts w:ascii="Arial" w:hAnsi="Arial" w:cs="Arial"/>
          <w:b/>
          <w:bCs/>
          <w:i/>
          <w:iCs/>
          <w:sz w:val="20"/>
          <w:szCs w:val="20"/>
          <w:lang w:val="es-ES_tradnl"/>
        </w:rPr>
        <w:t>4</w:t>
      </w:r>
      <w:r w:rsidRPr="00341ED4">
        <w:rPr>
          <w:rFonts w:ascii="Arial" w:hAnsi="Arial" w:cs="Arial"/>
          <w:b/>
          <w:bCs/>
          <w:i/>
          <w:iCs/>
          <w:sz w:val="20"/>
          <w:szCs w:val="20"/>
          <w:lang w:val="es-ES_tradnl"/>
        </w:rPr>
        <w:t>/202</w:t>
      </w:r>
      <w:r>
        <w:rPr>
          <w:rFonts w:ascii="Arial" w:hAnsi="Arial" w:cs="Arial"/>
          <w:b/>
          <w:bCs/>
          <w:i/>
          <w:iCs/>
          <w:sz w:val="20"/>
          <w:szCs w:val="20"/>
          <w:lang w:val="es-ES_tradnl"/>
        </w:rPr>
        <w:t>4</w:t>
      </w:r>
      <w:r w:rsidRPr="00341ED4">
        <w:rPr>
          <w:rFonts w:ascii="Arial" w:hAnsi="Arial" w:cs="Arial"/>
          <w:b/>
          <w:bCs/>
          <w:i/>
          <w:iCs/>
          <w:sz w:val="20"/>
          <w:szCs w:val="20"/>
          <w:lang w:val="es-ES_tradnl"/>
        </w:rPr>
        <w:t>)</w:t>
      </w:r>
      <w:r w:rsidRPr="00341ED4">
        <w:rPr>
          <w:rFonts w:ascii="Arial" w:hAnsi="Arial" w:cs="Arial"/>
          <w:b/>
          <w:bCs/>
          <w:sz w:val="20"/>
          <w:szCs w:val="20"/>
          <w:lang w:val="es-ES_tradnl"/>
        </w:rPr>
        <w:t xml:space="preserve">. </w:t>
      </w:r>
      <w:r w:rsidR="00532839">
        <w:rPr>
          <w:rFonts w:ascii="Arial" w:hAnsi="Arial" w:cs="Arial"/>
          <w:b/>
          <w:bCs/>
          <w:sz w:val="20"/>
          <w:szCs w:val="20"/>
          <w:lang w:val="es-ES_tradnl"/>
        </w:rPr>
        <w:t>Agente de recaudación. Impuesto sobre los Ingresos Brutos.</w:t>
      </w:r>
    </w:p>
    <w:p w14:paraId="14D38C8A" w14:textId="00225D9C" w:rsidR="00C679BC" w:rsidRDefault="00C23D30" w:rsidP="00115ECD">
      <w:pPr>
        <w:snapToGrid w:val="0"/>
        <w:spacing w:after="240" w:line="360" w:lineRule="auto"/>
        <w:ind w:left="360"/>
        <w:jc w:val="both"/>
        <w:rPr>
          <w:rFonts w:ascii="Arial" w:hAnsi="Arial" w:cs="Arial"/>
          <w:sz w:val="20"/>
          <w:szCs w:val="20"/>
          <w:lang w:val="es-ES_tradnl"/>
        </w:rPr>
      </w:pPr>
      <w:r>
        <w:rPr>
          <w:rFonts w:ascii="Arial" w:hAnsi="Arial" w:cs="Arial"/>
          <w:sz w:val="20"/>
          <w:szCs w:val="20"/>
          <w:lang w:val="es-ES_tradnl"/>
        </w:rPr>
        <w:t xml:space="preserve">Medida para mejor proveer. </w:t>
      </w:r>
      <w:r w:rsidR="005F1905">
        <w:rPr>
          <w:rFonts w:ascii="Arial" w:hAnsi="Arial" w:cs="Arial"/>
          <w:sz w:val="20"/>
          <w:szCs w:val="20"/>
          <w:lang w:val="es-ES_tradnl"/>
        </w:rPr>
        <w:t>D</w:t>
      </w:r>
      <w:r w:rsidR="00C679BC">
        <w:rPr>
          <w:rFonts w:ascii="Arial" w:hAnsi="Arial" w:cs="Arial"/>
          <w:sz w:val="20"/>
          <w:szCs w:val="20"/>
          <w:lang w:val="es-ES_tradnl"/>
        </w:rPr>
        <w:t>etracción de clientes que hayan presentado declaración jurada.</w:t>
      </w:r>
      <w:r w:rsidR="0030556E">
        <w:rPr>
          <w:rFonts w:ascii="Arial" w:hAnsi="Arial" w:cs="Arial"/>
          <w:sz w:val="20"/>
          <w:szCs w:val="20"/>
          <w:lang w:val="es-ES_tradnl"/>
        </w:rPr>
        <w:t xml:space="preserve"> Prescripción</w:t>
      </w:r>
      <w:r w:rsidR="00806224">
        <w:rPr>
          <w:rFonts w:ascii="Arial" w:hAnsi="Arial" w:cs="Arial"/>
          <w:sz w:val="20"/>
          <w:szCs w:val="20"/>
          <w:lang w:val="es-ES_tradnl"/>
        </w:rPr>
        <w:t xml:space="preserve"> de multas</w:t>
      </w:r>
      <w:r w:rsidR="0030556E">
        <w:rPr>
          <w:rFonts w:ascii="Arial" w:hAnsi="Arial" w:cs="Arial"/>
          <w:sz w:val="20"/>
          <w:szCs w:val="20"/>
          <w:lang w:val="es-ES_tradnl"/>
        </w:rPr>
        <w:t xml:space="preserve"> y recargos. Aplicación de la jurisprudencia “Alpha Shipping”.</w:t>
      </w:r>
    </w:p>
    <w:p w14:paraId="6BD2A046" w14:textId="77777777" w:rsidR="002C30ED" w:rsidRDefault="002C30ED" w:rsidP="00115ECD">
      <w:pPr>
        <w:snapToGrid w:val="0"/>
        <w:spacing w:after="240" w:line="360" w:lineRule="auto"/>
        <w:ind w:left="360"/>
        <w:jc w:val="both"/>
        <w:rPr>
          <w:rFonts w:ascii="Arial" w:hAnsi="Arial" w:cs="Arial"/>
          <w:sz w:val="20"/>
          <w:szCs w:val="20"/>
          <w:lang w:val="es-ES_tradnl"/>
        </w:rPr>
      </w:pPr>
    </w:p>
    <w:p w14:paraId="62D493C5" w14:textId="072C6C38" w:rsidR="003B5DA6" w:rsidRPr="00341ED4" w:rsidRDefault="003B5DA6" w:rsidP="003B5DA6">
      <w:pPr>
        <w:pStyle w:val="Prrafodelista"/>
        <w:numPr>
          <w:ilvl w:val="0"/>
          <w:numId w:val="1"/>
        </w:numPr>
        <w:snapToGrid w:val="0"/>
        <w:spacing w:after="240" w:line="360" w:lineRule="auto"/>
        <w:contextualSpacing w:val="0"/>
        <w:jc w:val="both"/>
        <w:rPr>
          <w:rFonts w:ascii="Arial" w:hAnsi="Arial" w:cs="Arial"/>
          <w:b/>
          <w:bCs/>
          <w:sz w:val="20"/>
          <w:szCs w:val="20"/>
          <w:lang w:val="es-ES_tradnl"/>
        </w:rPr>
      </w:pPr>
      <w:r>
        <w:rPr>
          <w:rFonts w:ascii="Arial" w:hAnsi="Arial" w:cs="Arial"/>
          <w:b/>
          <w:bCs/>
          <w:sz w:val="20"/>
          <w:szCs w:val="20"/>
          <w:lang w:val="es-ES_tradnl"/>
        </w:rPr>
        <w:t>Tribunal Fiscal de la Provincia de Buenos Aires</w:t>
      </w:r>
      <w:r w:rsidRPr="00341ED4">
        <w:rPr>
          <w:rFonts w:ascii="Arial" w:hAnsi="Arial" w:cs="Arial"/>
          <w:b/>
          <w:bCs/>
          <w:sz w:val="20"/>
          <w:szCs w:val="20"/>
          <w:lang w:val="es-ES_tradnl"/>
        </w:rPr>
        <w:t xml:space="preserve">. </w:t>
      </w:r>
      <w:r>
        <w:rPr>
          <w:rFonts w:ascii="Arial" w:hAnsi="Arial" w:cs="Arial"/>
          <w:b/>
          <w:bCs/>
          <w:sz w:val="20"/>
          <w:szCs w:val="20"/>
          <w:lang w:val="es-ES_tradnl"/>
        </w:rPr>
        <w:t>“</w:t>
      </w:r>
      <w:r w:rsidR="00E733AA">
        <w:rPr>
          <w:rFonts w:ascii="Arial" w:hAnsi="Arial" w:cs="Arial"/>
          <w:b/>
          <w:bCs/>
          <w:sz w:val="20"/>
          <w:szCs w:val="20"/>
          <w:lang w:val="es-ES_tradnl"/>
        </w:rPr>
        <w:t xml:space="preserve">Banco Credicoop </w:t>
      </w:r>
      <w:r w:rsidR="00D41208">
        <w:rPr>
          <w:rFonts w:ascii="Arial" w:hAnsi="Arial" w:cs="Arial"/>
          <w:b/>
          <w:bCs/>
          <w:sz w:val="20"/>
          <w:szCs w:val="20"/>
          <w:lang w:val="es-ES_tradnl"/>
        </w:rPr>
        <w:t>Cooperativo</w:t>
      </w:r>
      <w:r w:rsidR="00E733AA">
        <w:rPr>
          <w:rFonts w:ascii="Arial" w:hAnsi="Arial" w:cs="Arial"/>
          <w:b/>
          <w:bCs/>
          <w:sz w:val="20"/>
          <w:szCs w:val="20"/>
          <w:lang w:val="es-ES_tradnl"/>
        </w:rPr>
        <w:t xml:space="preserve"> Limitado”</w:t>
      </w:r>
      <w:r w:rsidR="00D41208">
        <w:rPr>
          <w:rFonts w:ascii="Arial" w:hAnsi="Arial" w:cs="Arial"/>
          <w:b/>
          <w:bCs/>
          <w:sz w:val="20"/>
          <w:szCs w:val="20"/>
          <w:lang w:val="es-ES_tradnl"/>
        </w:rPr>
        <w:t xml:space="preserve"> </w:t>
      </w:r>
      <w:r w:rsidRPr="00341ED4">
        <w:rPr>
          <w:rFonts w:ascii="Arial" w:hAnsi="Arial" w:cs="Arial"/>
          <w:b/>
          <w:bCs/>
          <w:i/>
          <w:iCs/>
          <w:sz w:val="20"/>
          <w:szCs w:val="20"/>
          <w:lang w:val="es-ES_tradnl"/>
        </w:rPr>
        <w:t>(</w:t>
      </w:r>
      <w:r>
        <w:rPr>
          <w:rFonts w:ascii="Arial" w:hAnsi="Arial" w:cs="Arial"/>
          <w:b/>
          <w:bCs/>
          <w:i/>
          <w:iCs/>
          <w:sz w:val="20"/>
          <w:szCs w:val="20"/>
          <w:lang w:val="es-ES_tradnl"/>
        </w:rPr>
        <w:t>19</w:t>
      </w:r>
      <w:r w:rsidRPr="00341ED4">
        <w:rPr>
          <w:rFonts w:ascii="Arial" w:hAnsi="Arial" w:cs="Arial"/>
          <w:b/>
          <w:bCs/>
          <w:i/>
          <w:iCs/>
          <w:sz w:val="20"/>
          <w:szCs w:val="20"/>
          <w:lang w:val="es-ES_tradnl"/>
        </w:rPr>
        <w:t>/0</w:t>
      </w:r>
      <w:r>
        <w:rPr>
          <w:rFonts w:ascii="Arial" w:hAnsi="Arial" w:cs="Arial"/>
          <w:b/>
          <w:bCs/>
          <w:i/>
          <w:iCs/>
          <w:sz w:val="20"/>
          <w:szCs w:val="20"/>
          <w:lang w:val="es-ES_tradnl"/>
        </w:rPr>
        <w:t>4</w:t>
      </w:r>
      <w:r w:rsidRPr="00341ED4">
        <w:rPr>
          <w:rFonts w:ascii="Arial" w:hAnsi="Arial" w:cs="Arial"/>
          <w:b/>
          <w:bCs/>
          <w:i/>
          <w:iCs/>
          <w:sz w:val="20"/>
          <w:szCs w:val="20"/>
          <w:lang w:val="es-ES_tradnl"/>
        </w:rPr>
        <w:t>/202</w:t>
      </w:r>
      <w:r>
        <w:rPr>
          <w:rFonts w:ascii="Arial" w:hAnsi="Arial" w:cs="Arial"/>
          <w:b/>
          <w:bCs/>
          <w:i/>
          <w:iCs/>
          <w:sz w:val="20"/>
          <w:szCs w:val="20"/>
          <w:lang w:val="es-ES_tradnl"/>
        </w:rPr>
        <w:t>4</w:t>
      </w:r>
      <w:r w:rsidRPr="00341ED4">
        <w:rPr>
          <w:rFonts w:ascii="Arial" w:hAnsi="Arial" w:cs="Arial"/>
          <w:b/>
          <w:bCs/>
          <w:i/>
          <w:iCs/>
          <w:sz w:val="20"/>
          <w:szCs w:val="20"/>
          <w:lang w:val="es-ES_tradnl"/>
        </w:rPr>
        <w:t>)</w:t>
      </w:r>
      <w:r w:rsidRPr="00341ED4">
        <w:rPr>
          <w:rFonts w:ascii="Arial" w:hAnsi="Arial" w:cs="Arial"/>
          <w:b/>
          <w:bCs/>
          <w:sz w:val="20"/>
          <w:szCs w:val="20"/>
          <w:lang w:val="es-ES_tradnl"/>
        </w:rPr>
        <w:t>.</w:t>
      </w:r>
      <w:r>
        <w:rPr>
          <w:rFonts w:ascii="Arial" w:hAnsi="Arial" w:cs="Arial"/>
          <w:b/>
          <w:bCs/>
          <w:sz w:val="20"/>
          <w:szCs w:val="20"/>
          <w:lang w:val="es-ES_tradnl"/>
        </w:rPr>
        <w:t xml:space="preserve"> Impuesto sobre los Ingresos Brutos.</w:t>
      </w:r>
    </w:p>
    <w:p w14:paraId="7681CFC4" w14:textId="3C30E51D" w:rsidR="002C30ED" w:rsidRDefault="002A4AC1" w:rsidP="00115ECD">
      <w:pPr>
        <w:snapToGrid w:val="0"/>
        <w:spacing w:after="240" w:line="360" w:lineRule="auto"/>
        <w:ind w:left="360"/>
        <w:jc w:val="both"/>
        <w:rPr>
          <w:rFonts w:ascii="Arial" w:hAnsi="Arial" w:cs="Arial"/>
          <w:sz w:val="20"/>
          <w:szCs w:val="20"/>
          <w:lang w:val="es-ES_tradnl"/>
        </w:rPr>
      </w:pPr>
      <w:r>
        <w:rPr>
          <w:rFonts w:ascii="Arial" w:hAnsi="Arial" w:cs="Arial"/>
          <w:sz w:val="20"/>
          <w:szCs w:val="20"/>
          <w:lang w:val="es-ES_tradnl"/>
        </w:rPr>
        <w:t>Convenio Mul</w:t>
      </w:r>
      <w:r w:rsidR="00B5582B">
        <w:rPr>
          <w:rFonts w:ascii="Arial" w:hAnsi="Arial" w:cs="Arial"/>
          <w:sz w:val="20"/>
          <w:szCs w:val="20"/>
          <w:lang w:val="es-ES_tradnl"/>
        </w:rPr>
        <w:t>tilateral. Distribución de base imponible en función de las sucursales.</w:t>
      </w:r>
      <w:r w:rsidR="00D269B6">
        <w:rPr>
          <w:rFonts w:ascii="Arial" w:hAnsi="Arial" w:cs="Arial"/>
          <w:sz w:val="20"/>
          <w:szCs w:val="20"/>
          <w:lang w:val="es-ES_tradnl"/>
        </w:rPr>
        <w:t xml:space="preserve"> Se hace lugar parcialmente al recurso de apelación.</w:t>
      </w:r>
    </w:p>
    <w:p w14:paraId="16B28D99" w14:textId="77777777" w:rsidR="002C30ED" w:rsidRDefault="002C30ED" w:rsidP="00115ECD">
      <w:pPr>
        <w:snapToGrid w:val="0"/>
        <w:spacing w:after="240" w:line="360" w:lineRule="auto"/>
        <w:ind w:left="360"/>
        <w:jc w:val="both"/>
        <w:rPr>
          <w:rFonts w:ascii="Arial" w:hAnsi="Arial" w:cs="Arial"/>
          <w:sz w:val="20"/>
          <w:szCs w:val="20"/>
          <w:lang w:val="es-ES_tradnl"/>
        </w:rPr>
      </w:pPr>
    </w:p>
    <w:p w14:paraId="2D97FD96" w14:textId="21EF479F" w:rsidR="003B1D95" w:rsidRPr="00341ED4" w:rsidRDefault="003B1D95" w:rsidP="003B1D95">
      <w:pPr>
        <w:pStyle w:val="Prrafodelista"/>
        <w:numPr>
          <w:ilvl w:val="0"/>
          <w:numId w:val="1"/>
        </w:numPr>
        <w:snapToGrid w:val="0"/>
        <w:spacing w:after="240" w:line="360" w:lineRule="auto"/>
        <w:contextualSpacing w:val="0"/>
        <w:jc w:val="both"/>
        <w:rPr>
          <w:rFonts w:ascii="Arial" w:hAnsi="Arial" w:cs="Arial"/>
          <w:b/>
          <w:bCs/>
          <w:sz w:val="20"/>
          <w:szCs w:val="20"/>
          <w:lang w:val="es-ES_tradnl"/>
        </w:rPr>
      </w:pPr>
      <w:r>
        <w:rPr>
          <w:rFonts w:ascii="Arial" w:hAnsi="Arial" w:cs="Arial"/>
          <w:b/>
          <w:bCs/>
          <w:sz w:val="20"/>
          <w:szCs w:val="20"/>
          <w:lang w:val="es-ES_tradnl"/>
        </w:rPr>
        <w:t>Tribunal Fiscal de la Provincia de Buenos Aires</w:t>
      </w:r>
      <w:r w:rsidRPr="00341ED4">
        <w:rPr>
          <w:rFonts w:ascii="Arial" w:hAnsi="Arial" w:cs="Arial"/>
          <w:b/>
          <w:bCs/>
          <w:sz w:val="20"/>
          <w:szCs w:val="20"/>
          <w:lang w:val="es-ES_tradnl"/>
        </w:rPr>
        <w:t xml:space="preserve">. </w:t>
      </w:r>
      <w:r>
        <w:rPr>
          <w:rFonts w:ascii="Arial" w:hAnsi="Arial" w:cs="Arial"/>
          <w:b/>
          <w:bCs/>
          <w:sz w:val="20"/>
          <w:szCs w:val="20"/>
          <w:lang w:val="es-ES_tradnl"/>
        </w:rPr>
        <w:t>“</w:t>
      </w:r>
      <w:r>
        <w:rPr>
          <w:rFonts w:ascii="Arial" w:hAnsi="Arial" w:cs="Arial"/>
          <w:b/>
          <w:bCs/>
          <w:sz w:val="20"/>
          <w:szCs w:val="20"/>
          <w:lang w:val="es-ES_tradnl"/>
        </w:rPr>
        <w:t>Frigor</w:t>
      </w:r>
      <w:r w:rsidR="00D67827">
        <w:rPr>
          <w:rFonts w:ascii="Arial" w:hAnsi="Arial" w:cs="Arial"/>
          <w:b/>
          <w:bCs/>
          <w:sz w:val="20"/>
          <w:szCs w:val="20"/>
          <w:lang w:val="es-ES_tradnl"/>
        </w:rPr>
        <w:t>ífico La Costa S.A.</w:t>
      </w:r>
      <w:r>
        <w:rPr>
          <w:rFonts w:ascii="Arial" w:hAnsi="Arial" w:cs="Arial"/>
          <w:b/>
          <w:bCs/>
          <w:sz w:val="20"/>
          <w:szCs w:val="20"/>
          <w:lang w:val="es-ES_tradnl"/>
        </w:rPr>
        <w:t xml:space="preserve">” </w:t>
      </w:r>
      <w:r w:rsidRPr="00341ED4">
        <w:rPr>
          <w:rFonts w:ascii="Arial" w:hAnsi="Arial" w:cs="Arial"/>
          <w:b/>
          <w:bCs/>
          <w:i/>
          <w:iCs/>
          <w:sz w:val="20"/>
          <w:szCs w:val="20"/>
          <w:lang w:val="es-ES_tradnl"/>
        </w:rPr>
        <w:t>(</w:t>
      </w:r>
      <w:r>
        <w:rPr>
          <w:rFonts w:ascii="Arial" w:hAnsi="Arial" w:cs="Arial"/>
          <w:b/>
          <w:bCs/>
          <w:i/>
          <w:iCs/>
          <w:sz w:val="20"/>
          <w:szCs w:val="20"/>
          <w:lang w:val="es-ES_tradnl"/>
        </w:rPr>
        <w:t>1</w:t>
      </w:r>
      <w:r w:rsidR="00D1139D">
        <w:rPr>
          <w:rFonts w:ascii="Arial" w:hAnsi="Arial" w:cs="Arial"/>
          <w:b/>
          <w:bCs/>
          <w:i/>
          <w:iCs/>
          <w:sz w:val="20"/>
          <w:szCs w:val="20"/>
          <w:lang w:val="es-ES_tradnl"/>
        </w:rPr>
        <w:t>4</w:t>
      </w:r>
      <w:r w:rsidRPr="00341ED4">
        <w:rPr>
          <w:rFonts w:ascii="Arial" w:hAnsi="Arial" w:cs="Arial"/>
          <w:b/>
          <w:bCs/>
          <w:i/>
          <w:iCs/>
          <w:sz w:val="20"/>
          <w:szCs w:val="20"/>
          <w:lang w:val="es-ES_tradnl"/>
        </w:rPr>
        <w:t>/0</w:t>
      </w:r>
      <w:r w:rsidR="00D1139D">
        <w:rPr>
          <w:rFonts w:ascii="Arial" w:hAnsi="Arial" w:cs="Arial"/>
          <w:b/>
          <w:bCs/>
          <w:i/>
          <w:iCs/>
          <w:sz w:val="20"/>
          <w:szCs w:val="20"/>
          <w:lang w:val="es-ES_tradnl"/>
        </w:rPr>
        <w:t>3</w:t>
      </w:r>
      <w:r w:rsidRPr="00341ED4">
        <w:rPr>
          <w:rFonts w:ascii="Arial" w:hAnsi="Arial" w:cs="Arial"/>
          <w:b/>
          <w:bCs/>
          <w:i/>
          <w:iCs/>
          <w:sz w:val="20"/>
          <w:szCs w:val="20"/>
          <w:lang w:val="es-ES_tradnl"/>
        </w:rPr>
        <w:t>/202</w:t>
      </w:r>
      <w:r>
        <w:rPr>
          <w:rFonts w:ascii="Arial" w:hAnsi="Arial" w:cs="Arial"/>
          <w:b/>
          <w:bCs/>
          <w:i/>
          <w:iCs/>
          <w:sz w:val="20"/>
          <w:szCs w:val="20"/>
          <w:lang w:val="es-ES_tradnl"/>
        </w:rPr>
        <w:t>4</w:t>
      </w:r>
      <w:r w:rsidRPr="00341ED4">
        <w:rPr>
          <w:rFonts w:ascii="Arial" w:hAnsi="Arial" w:cs="Arial"/>
          <w:b/>
          <w:bCs/>
          <w:i/>
          <w:iCs/>
          <w:sz w:val="20"/>
          <w:szCs w:val="20"/>
          <w:lang w:val="es-ES_tradnl"/>
        </w:rPr>
        <w:t>)</w:t>
      </w:r>
      <w:r w:rsidRPr="00341ED4">
        <w:rPr>
          <w:rFonts w:ascii="Arial" w:hAnsi="Arial" w:cs="Arial"/>
          <w:b/>
          <w:bCs/>
          <w:sz w:val="20"/>
          <w:szCs w:val="20"/>
          <w:lang w:val="es-ES_tradnl"/>
        </w:rPr>
        <w:t>.</w:t>
      </w:r>
      <w:r>
        <w:rPr>
          <w:rFonts w:ascii="Arial" w:hAnsi="Arial" w:cs="Arial"/>
          <w:b/>
          <w:bCs/>
          <w:sz w:val="20"/>
          <w:szCs w:val="20"/>
          <w:lang w:val="es-ES_tradnl"/>
        </w:rPr>
        <w:t xml:space="preserve"> Impuesto sobre los Ingresos Brutos.</w:t>
      </w:r>
      <w:r w:rsidR="009B2624">
        <w:rPr>
          <w:rFonts w:ascii="Arial" w:hAnsi="Arial" w:cs="Arial"/>
          <w:b/>
          <w:bCs/>
          <w:sz w:val="20"/>
          <w:szCs w:val="20"/>
          <w:lang w:val="es-ES_tradnl"/>
        </w:rPr>
        <w:t xml:space="preserve"> Omisión de Actuar como Agente de percepción. Plazo decenal de prescripción</w:t>
      </w:r>
      <w:r w:rsidR="00213D56">
        <w:rPr>
          <w:rFonts w:ascii="Arial" w:hAnsi="Arial" w:cs="Arial"/>
          <w:b/>
          <w:bCs/>
          <w:sz w:val="20"/>
          <w:szCs w:val="20"/>
          <w:lang w:val="es-ES_tradnl"/>
        </w:rPr>
        <w:t>.</w:t>
      </w:r>
      <w:r w:rsidR="009B2624">
        <w:rPr>
          <w:rFonts w:ascii="Arial" w:hAnsi="Arial" w:cs="Arial"/>
          <w:b/>
          <w:bCs/>
          <w:sz w:val="20"/>
          <w:szCs w:val="20"/>
          <w:lang w:val="es-ES_tradnl"/>
        </w:rPr>
        <w:t xml:space="preserve"> </w:t>
      </w:r>
    </w:p>
    <w:p w14:paraId="3AE81BD7" w14:textId="1551BD33" w:rsidR="003B1D95" w:rsidRDefault="00213D56" w:rsidP="003B1D95">
      <w:pPr>
        <w:snapToGrid w:val="0"/>
        <w:spacing w:after="240" w:line="360" w:lineRule="auto"/>
        <w:ind w:left="360"/>
        <w:jc w:val="both"/>
        <w:rPr>
          <w:rFonts w:ascii="Arial" w:hAnsi="Arial" w:cs="Arial"/>
          <w:sz w:val="20"/>
          <w:szCs w:val="20"/>
          <w:lang w:val="es-ES_tradnl"/>
        </w:rPr>
      </w:pPr>
      <w:r>
        <w:rPr>
          <w:rFonts w:ascii="Arial" w:hAnsi="Arial" w:cs="Arial"/>
          <w:sz w:val="20"/>
          <w:szCs w:val="20"/>
          <w:lang w:val="es-ES_tradnl"/>
        </w:rPr>
        <w:lastRenderedPageBreak/>
        <w:t xml:space="preserve">El Tribunal Fiscal de Apelaciones ratifica </w:t>
      </w:r>
      <w:r w:rsidR="008C0D8F">
        <w:rPr>
          <w:rFonts w:ascii="Arial" w:hAnsi="Arial" w:cs="Arial"/>
          <w:sz w:val="20"/>
          <w:szCs w:val="20"/>
          <w:lang w:val="es-ES_tradnl"/>
        </w:rPr>
        <w:t>su postura en cuanto la aplicación del plazo de prescripción decenal.</w:t>
      </w:r>
      <w:r w:rsidR="003B1D95">
        <w:rPr>
          <w:rFonts w:ascii="Arial" w:hAnsi="Arial" w:cs="Arial"/>
          <w:sz w:val="20"/>
          <w:szCs w:val="20"/>
          <w:lang w:val="es-ES_tradnl"/>
        </w:rPr>
        <w:t xml:space="preserve"> Se hace lugar parcialmente al recurso de apelación.</w:t>
      </w:r>
    </w:p>
    <w:p w14:paraId="113132E5" w14:textId="77777777" w:rsidR="00D1139D" w:rsidRDefault="00D1139D" w:rsidP="00D1139D">
      <w:pPr>
        <w:snapToGrid w:val="0"/>
        <w:spacing w:after="240" w:line="360" w:lineRule="auto"/>
        <w:ind w:left="360"/>
        <w:jc w:val="both"/>
        <w:rPr>
          <w:rFonts w:ascii="Arial" w:hAnsi="Arial" w:cs="Arial"/>
          <w:sz w:val="20"/>
          <w:szCs w:val="20"/>
          <w:lang w:val="es-ES_tradnl"/>
        </w:rPr>
      </w:pPr>
    </w:p>
    <w:p w14:paraId="277A3736" w14:textId="5AE92197" w:rsidR="00D1139D" w:rsidRPr="00341ED4" w:rsidRDefault="00D1139D" w:rsidP="00D1139D">
      <w:pPr>
        <w:pStyle w:val="Prrafodelista"/>
        <w:numPr>
          <w:ilvl w:val="0"/>
          <w:numId w:val="1"/>
        </w:numPr>
        <w:snapToGrid w:val="0"/>
        <w:spacing w:after="240" w:line="360" w:lineRule="auto"/>
        <w:contextualSpacing w:val="0"/>
        <w:jc w:val="both"/>
        <w:rPr>
          <w:rFonts w:ascii="Arial" w:hAnsi="Arial" w:cs="Arial"/>
          <w:b/>
          <w:bCs/>
          <w:sz w:val="20"/>
          <w:szCs w:val="20"/>
          <w:lang w:val="es-ES_tradnl"/>
        </w:rPr>
      </w:pPr>
      <w:r>
        <w:rPr>
          <w:rFonts w:ascii="Arial" w:hAnsi="Arial" w:cs="Arial"/>
          <w:b/>
          <w:bCs/>
          <w:sz w:val="20"/>
          <w:szCs w:val="20"/>
          <w:lang w:val="es-ES_tradnl"/>
        </w:rPr>
        <w:t>Tribunal Fiscal de la Provincia de Buenos Aires</w:t>
      </w:r>
      <w:r w:rsidRPr="00341ED4">
        <w:rPr>
          <w:rFonts w:ascii="Arial" w:hAnsi="Arial" w:cs="Arial"/>
          <w:b/>
          <w:bCs/>
          <w:sz w:val="20"/>
          <w:szCs w:val="20"/>
          <w:lang w:val="es-ES_tradnl"/>
        </w:rPr>
        <w:t xml:space="preserve">. </w:t>
      </w:r>
      <w:r>
        <w:rPr>
          <w:rFonts w:ascii="Arial" w:hAnsi="Arial" w:cs="Arial"/>
          <w:b/>
          <w:bCs/>
          <w:sz w:val="20"/>
          <w:szCs w:val="20"/>
          <w:lang w:val="es-ES_tradnl"/>
        </w:rPr>
        <w:t>“</w:t>
      </w:r>
      <w:r>
        <w:rPr>
          <w:rFonts w:ascii="Arial" w:hAnsi="Arial" w:cs="Arial"/>
          <w:b/>
          <w:bCs/>
          <w:sz w:val="20"/>
          <w:szCs w:val="20"/>
          <w:lang w:val="es-ES_tradnl"/>
        </w:rPr>
        <w:t>Volkswagen Argentina</w:t>
      </w:r>
      <w:r>
        <w:rPr>
          <w:rFonts w:ascii="Arial" w:hAnsi="Arial" w:cs="Arial"/>
          <w:b/>
          <w:bCs/>
          <w:sz w:val="20"/>
          <w:szCs w:val="20"/>
          <w:lang w:val="es-ES_tradnl"/>
        </w:rPr>
        <w:t xml:space="preserve"> S.A.” </w:t>
      </w:r>
      <w:r w:rsidRPr="00341ED4">
        <w:rPr>
          <w:rFonts w:ascii="Arial" w:hAnsi="Arial" w:cs="Arial"/>
          <w:b/>
          <w:bCs/>
          <w:i/>
          <w:iCs/>
          <w:sz w:val="20"/>
          <w:szCs w:val="20"/>
          <w:lang w:val="es-ES_tradnl"/>
        </w:rPr>
        <w:t>(</w:t>
      </w:r>
      <w:r>
        <w:rPr>
          <w:rFonts w:ascii="Arial" w:hAnsi="Arial" w:cs="Arial"/>
          <w:b/>
          <w:bCs/>
          <w:i/>
          <w:iCs/>
          <w:sz w:val="20"/>
          <w:szCs w:val="20"/>
          <w:lang w:val="es-ES_tradnl"/>
        </w:rPr>
        <w:t>1</w:t>
      </w:r>
      <w:r>
        <w:rPr>
          <w:rFonts w:ascii="Arial" w:hAnsi="Arial" w:cs="Arial"/>
          <w:b/>
          <w:bCs/>
          <w:i/>
          <w:iCs/>
          <w:sz w:val="20"/>
          <w:szCs w:val="20"/>
          <w:lang w:val="es-ES_tradnl"/>
        </w:rPr>
        <w:t>3</w:t>
      </w:r>
      <w:r w:rsidRPr="00341ED4">
        <w:rPr>
          <w:rFonts w:ascii="Arial" w:hAnsi="Arial" w:cs="Arial"/>
          <w:b/>
          <w:bCs/>
          <w:i/>
          <w:iCs/>
          <w:sz w:val="20"/>
          <w:szCs w:val="20"/>
          <w:lang w:val="es-ES_tradnl"/>
        </w:rPr>
        <w:t>/0</w:t>
      </w:r>
      <w:r>
        <w:rPr>
          <w:rFonts w:ascii="Arial" w:hAnsi="Arial" w:cs="Arial"/>
          <w:b/>
          <w:bCs/>
          <w:i/>
          <w:iCs/>
          <w:sz w:val="20"/>
          <w:szCs w:val="20"/>
          <w:lang w:val="es-ES_tradnl"/>
        </w:rPr>
        <w:t>3</w:t>
      </w:r>
      <w:r w:rsidRPr="00341ED4">
        <w:rPr>
          <w:rFonts w:ascii="Arial" w:hAnsi="Arial" w:cs="Arial"/>
          <w:b/>
          <w:bCs/>
          <w:i/>
          <w:iCs/>
          <w:sz w:val="20"/>
          <w:szCs w:val="20"/>
          <w:lang w:val="es-ES_tradnl"/>
        </w:rPr>
        <w:t>/202</w:t>
      </w:r>
      <w:r>
        <w:rPr>
          <w:rFonts w:ascii="Arial" w:hAnsi="Arial" w:cs="Arial"/>
          <w:b/>
          <w:bCs/>
          <w:i/>
          <w:iCs/>
          <w:sz w:val="20"/>
          <w:szCs w:val="20"/>
          <w:lang w:val="es-ES_tradnl"/>
        </w:rPr>
        <w:t>4</w:t>
      </w:r>
      <w:r w:rsidRPr="00341ED4">
        <w:rPr>
          <w:rFonts w:ascii="Arial" w:hAnsi="Arial" w:cs="Arial"/>
          <w:b/>
          <w:bCs/>
          <w:i/>
          <w:iCs/>
          <w:sz w:val="20"/>
          <w:szCs w:val="20"/>
          <w:lang w:val="es-ES_tradnl"/>
        </w:rPr>
        <w:t>)</w:t>
      </w:r>
      <w:r w:rsidRPr="00341ED4">
        <w:rPr>
          <w:rFonts w:ascii="Arial" w:hAnsi="Arial" w:cs="Arial"/>
          <w:b/>
          <w:bCs/>
          <w:sz w:val="20"/>
          <w:szCs w:val="20"/>
          <w:lang w:val="es-ES_tradnl"/>
        </w:rPr>
        <w:t>.</w:t>
      </w:r>
      <w:r>
        <w:rPr>
          <w:rFonts w:ascii="Arial" w:hAnsi="Arial" w:cs="Arial"/>
          <w:b/>
          <w:bCs/>
          <w:sz w:val="20"/>
          <w:szCs w:val="20"/>
          <w:lang w:val="es-ES_tradnl"/>
        </w:rPr>
        <w:t xml:space="preserve"> </w:t>
      </w:r>
      <w:r w:rsidR="004D47A7">
        <w:rPr>
          <w:rFonts w:ascii="Arial" w:hAnsi="Arial" w:cs="Arial"/>
          <w:b/>
          <w:bCs/>
          <w:sz w:val="20"/>
          <w:szCs w:val="20"/>
          <w:lang w:val="es-ES_tradnl"/>
        </w:rPr>
        <w:t>Multa. Transporte s</w:t>
      </w:r>
      <w:r w:rsidR="00C26F19">
        <w:rPr>
          <w:rFonts w:ascii="Arial" w:hAnsi="Arial" w:cs="Arial"/>
          <w:b/>
          <w:bCs/>
          <w:sz w:val="20"/>
          <w:szCs w:val="20"/>
          <w:lang w:val="es-ES_tradnl"/>
        </w:rPr>
        <w:t>in</w:t>
      </w:r>
      <w:r w:rsidR="004D47A7">
        <w:rPr>
          <w:rFonts w:ascii="Arial" w:hAnsi="Arial" w:cs="Arial"/>
          <w:b/>
          <w:bCs/>
          <w:sz w:val="20"/>
          <w:szCs w:val="20"/>
          <w:lang w:val="es-ES_tradnl"/>
        </w:rPr>
        <w:t xml:space="preserve"> COT.</w:t>
      </w:r>
      <w:r>
        <w:rPr>
          <w:rFonts w:ascii="Arial" w:hAnsi="Arial" w:cs="Arial"/>
          <w:b/>
          <w:bCs/>
          <w:sz w:val="20"/>
          <w:szCs w:val="20"/>
          <w:lang w:val="es-ES_tradnl"/>
        </w:rPr>
        <w:t xml:space="preserve"> </w:t>
      </w:r>
    </w:p>
    <w:p w14:paraId="0079B4D1" w14:textId="0C101D13" w:rsidR="00B5582B" w:rsidRDefault="00C26F19" w:rsidP="00115ECD">
      <w:pPr>
        <w:snapToGrid w:val="0"/>
        <w:spacing w:after="240" w:line="360" w:lineRule="auto"/>
        <w:ind w:left="360"/>
        <w:jc w:val="both"/>
        <w:rPr>
          <w:rFonts w:ascii="Arial" w:hAnsi="Arial" w:cs="Arial"/>
          <w:sz w:val="20"/>
          <w:szCs w:val="20"/>
          <w:lang w:val="es-ES_tradnl"/>
        </w:rPr>
      </w:pPr>
      <w:r>
        <w:rPr>
          <w:rFonts w:ascii="Arial" w:hAnsi="Arial" w:cs="Arial"/>
          <w:sz w:val="20"/>
          <w:szCs w:val="20"/>
          <w:lang w:val="es-ES_tradnl"/>
        </w:rPr>
        <w:t xml:space="preserve">El Tribunal Fiscal de Apelaciones </w:t>
      </w:r>
      <w:r w:rsidR="0003369B">
        <w:rPr>
          <w:rFonts w:ascii="Arial" w:hAnsi="Arial" w:cs="Arial"/>
          <w:sz w:val="20"/>
          <w:szCs w:val="20"/>
          <w:lang w:val="es-ES_tradnl"/>
        </w:rPr>
        <w:t xml:space="preserve">hace lugar parcialmente al recurso de apelación y reduce la multa </w:t>
      </w:r>
      <w:r w:rsidR="00AF7478">
        <w:rPr>
          <w:rFonts w:ascii="Arial" w:hAnsi="Arial" w:cs="Arial"/>
          <w:sz w:val="20"/>
          <w:szCs w:val="20"/>
          <w:lang w:val="es-ES_tradnl"/>
        </w:rPr>
        <w:t>en virtud de constatarse la ausencia parcial de COT. Se revoca la responsabilidad solidaria infraccional de los directores.</w:t>
      </w:r>
    </w:p>
    <w:p w14:paraId="4D23F853" w14:textId="77777777" w:rsidR="002C30ED" w:rsidRDefault="002C30ED" w:rsidP="00115ECD">
      <w:pPr>
        <w:snapToGrid w:val="0"/>
        <w:spacing w:after="240" w:line="360" w:lineRule="auto"/>
        <w:ind w:left="360"/>
        <w:jc w:val="both"/>
        <w:rPr>
          <w:rFonts w:ascii="Arial" w:hAnsi="Arial" w:cs="Arial"/>
          <w:sz w:val="20"/>
          <w:szCs w:val="20"/>
          <w:lang w:val="es-ES_tradnl"/>
        </w:rPr>
      </w:pPr>
    </w:p>
    <w:p w14:paraId="39B1FFDD" w14:textId="17B86585" w:rsidR="00115ECD" w:rsidRDefault="00115ECD" w:rsidP="00115ECD">
      <w:pPr>
        <w:snapToGrid w:val="0"/>
        <w:spacing w:after="240" w:line="360" w:lineRule="auto"/>
        <w:jc w:val="both"/>
        <w:rPr>
          <w:rFonts w:ascii="Arial" w:hAnsi="Arial" w:cs="Arial"/>
          <w:b/>
          <w:bCs/>
          <w:sz w:val="20"/>
          <w:szCs w:val="20"/>
          <w:u w:val="single"/>
          <w:lang w:val="es-ES_tradnl"/>
        </w:rPr>
      </w:pPr>
      <w:r>
        <w:rPr>
          <w:rFonts w:ascii="Arial" w:hAnsi="Arial" w:cs="Arial"/>
          <w:b/>
          <w:bCs/>
          <w:sz w:val="20"/>
          <w:szCs w:val="20"/>
          <w:u w:val="single"/>
          <w:lang w:val="es-ES_tradnl"/>
        </w:rPr>
        <w:t>RESOLUCIONES DE LOS ORGANISMOS DE APLICACIÓN DEL CONVENIO MULTILATERAL</w:t>
      </w:r>
    </w:p>
    <w:p w14:paraId="7F743630" w14:textId="3D313C57" w:rsidR="00115ECD" w:rsidRPr="00EB767C" w:rsidRDefault="00544F1F" w:rsidP="00DE7A2E">
      <w:pPr>
        <w:pStyle w:val="Prrafodelista"/>
        <w:numPr>
          <w:ilvl w:val="0"/>
          <w:numId w:val="1"/>
        </w:numPr>
        <w:snapToGrid w:val="0"/>
        <w:spacing w:after="240" w:line="360" w:lineRule="auto"/>
        <w:contextualSpacing w:val="0"/>
        <w:jc w:val="both"/>
        <w:rPr>
          <w:rFonts w:ascii="Arial" w:hAnsi="Arial" w:cs="Arial"/>
          <w:b/>
          <w:bCs/>
          <w:sz w:val="20"/>
          <w:szCs w:val="20"/>
          <w:u w:val="single"/>
          <w:lang w:val="es-ES_tradnl"/>
        </w:rPr>
      </w:pPr>
      <w:r w:rsidRPr="00EB767C">
        <w:rPr>
          <w:rFonts w:ascii="Arial" w:hAnsi="Arial" w:cs="Arial"/>
          <w:b/>
          <w:bCs/>
          <w:sz w:val="20"/>
          <w:szCs w:val="20"/>
          <w:lang w:val="es-ES_tradnl"/>
        </w:rPr>
        <w:t>R.</w:t>
      </w:r>
      <w:r w:rsidR="00F97543">
        <w:rPr>
          <w:rFonts w:ascii="Arial" w:hAnsi="Arial" w:cs="Arial"/>
          <w:b/>
          <w:bCs/>
          <w:sz w:val="20"/>
          <w:szCs w:val="20"/>
          <w:lang w:val="es-ES_tradnl"/>
        </w:rPr>
        <w:t>G.</w:t>
      </w:r>
      <w:r w:rsidRPr="00EB767C">
        <w:rPr>
          <w:rFonts w:ascii="Arial" w:hAnsi="Arial" w:cs="Arial"/>
          <w:b/>
          <w:bCs/>
          <w:sz w:val="20"/>
          <w:szCs w:val="20"/>
          <w:lang w:val="es-ES_tradnl"/>
        </w:rPr>
        <w:t xml:space="preserve"> (CA) </w:t>
      </w:r>
      <w:r w:rsidR="006B3A35">
        <w:rPr>
          <w:rFonts w:ascii="Arial" w:hAnsi="Arial" w:cs="Arial"/>
          <w:b/>
          <w:bCs/>
          <w:sz w:val="20"/>
          <w:szCs w:val="20"/>
          <w:lang w:val="es-ES_tradnl"/>
        </w:rPr>
        <w:t>1</w:t>
      </w:r>
      <w:r w:rsidRPr="00EB767C">
        <w:rPr>
          <w:rFonts w:ascii="Arial" w:hAnsi="Arial" w:cs="Arial"/>
          <w:b/>
          <w:bCs/>
          <w:sz w:val="20"/>
          <w:szCs w:val="20"/>
          <w:lang w:val="es-ES_tradnl"/>
        </w:rPr>
        <w:t>/202</w:t>
      </w:r>
      <w:r w:rsidR="006B3A35">
        <w:rPr>
          <w:rFonts w:ascii="Arial" w:hAnsi="Arial" w:cs="Arial"/>
          <w:b/>
          <w:bCs/>
          <w:sz w:val="20"/>
          <w:szCs w:val="20"/>
          <w:lang w:val="es-ES_tradnl"/>
        </w:rPr>
        <w:t>4</w:t>
      </w:r>
      <w:r w:rsidRPr="00EB767C">
        <w:rPr>
          <w:rFonts w:ascii="Arial" w:hAnsi="Arial" w:cs="Arial"/>
          <w:b/>
          <w:bCs/>
          <w:sz w:val="20"/>
          <w:szCs w:val="20"/>
          <w:lang w:val="es-ES_tradnl"/>
        </w:rPr>
        <w:t xml:space="preserve">. </w:t>
      </w:r>
      <w:r w:rsidR="003B49AA">
        <w:rPr>
          <w:rFonts w:ascii="Arial" w:hAnsi="Arial" w:cs="Arial"/>
          <w:b/>
          <w:bCs/>
          <w:sz w:val="20"/>
          <w:szCs w:val="20"/>
          <w:lang w:val="es-ES_tradnl"/>
        </w:rPr>
        <w:t xml:space="preserve">Establece los montos mínimos para las contrataciones. </w:t>
      </w:r>
    </w:p>
    <w:p w14:paraId="5AE6ACE7" w14:textId="2D82955F" w:rsidR="00544F1F" w:rsidRPr="00DE7A2E" w:rsidRDefault="00544F1F" w:rsidP="00544F1F">
      <w:pPr>
        <w:pStyle w:val="Prrafodelista"/>
        <w:numPr>
          <w:ilvl w:val="0"/>
          <w:numId w:val="1"/>
        </w:numPr>
        <w:snapToGrid w:val="0"/>
        <w:spacing w:after="240" w:line="360" w:lineRule="auto"/>
        <w:contextualSpacing w:val="0"/>
        <w:jc w:val="both"/>
        <w:rPr>
          <w:rFonts w:ascii="Arial" w:hAnsi="Arial" w:cs="Arial"/>
          <w:b/>
          <w:bCs/>
          <w:sz w:val="20"/>
          <w:szCs w:val="20"/>
          <w:u w:val="single"/>
          <w:lang w:val="es-ES_tradnl"/>
        </w:rPr>
      </w:pPr>
      <w:r w:rsidRPr="00DE7A2E">
        <w:rPr>
          <w:rFonts w:ascii="Arial" w:hAnsi="Arial" w:cs="Arial"/>
          <w:b/>
          <w:bCs/>
          <w:sz w:val="20"/>
          <w:szCs w:val="20"/>
          <w:lang w:val="es-ES_tradnl"/>
        </w:rPr>
        <w:t>R. (C</w:t>
      </w:r>
      <w:r w:rsidR="00F97543">
        <w:rPr>
          <w:rFonts w:ascii="Arial" w:hAnsi="Arial" w:cs="Arial"/>
          <w:b/>
          <w:bCs/>
          <w:sz w:val="20"/>
          <w:szCs w:val="20"/>
          <w:lang w:val="es-ES_tradnl"/>
        </w:rPr>
        <w:t>P</w:t>
      </w:r>
      <w:r w:rsidRPr="00DE7A2E">
        <w:rPr>
          <w:rFonts w:ascii="Arial" w:hAnsi="Arial" w:cs="Arial"/>
          <w:b/>
          <w:bCs/>
          <w:sz w:val="20"/>
          <w:szCs w:val="20"/>
          <w:lang w:val="es-ES_tradnl"/>
        </w:rPr>
        <w:t xml:space="preserve">) </w:t>
      </w:r>
      <w:r w:rsidR="00B9144D">
        <w:rPr>
          <w:rFonts w:ascii="Arial" w:hAnsi="Arial" w:cs="Arial"/>
          <w:b/>
          <w:bCs/>
          <w:sz w:val="20"/>
          <w:szCs w:val="20"/>
          <w:lang w:val="es-ES_tradnl"/>
        </w:rPr>
        <w:t>3</w:t>
      </w:r>
      <w:r w:rsidRPr="00DE7A2E">
        <w:rPr>
          <w:rFonts w:ascii="Arial" w:hAnsi="Arial" w:cs="Arial"/>
          <w:b/>
          <w:bCs/>
          <w:sz w:val="20"/>
          <w:szCs w:val="20"/>
          <w:lang w:val="es-ES_tradnl"/>
        </w:rPr>
        <w:t>/202</w:t>
      </w:r>
      <w:r w:rsidR="00B9144D">
        <w:rPr>
          <w:rFonts w:ascii="Arial" w:hAnsi="Arial" w:cs="Arial"/>
          <w:b/>
          <w:bCs/>
          <w:sz w:val="20"/>
          <w:szCs w:val="20"/>
          <w:lang w:val="es-ES_tradnl"/>
        </w:rPr>
        <w:t>4</w:t>
      </w:r>
      <w:r w:rsidRPr="00DE7A2E">
        <w:rPr>
          <w:rFonts w:ascii="Arial" w:hAnsi="Arial" w:cs="Arial"/>
          <w:b/>
          <w:bCs/>
          <w:sz w:val="20"/>
          <w:szCs w:val="20"/>
          <w:lang w:val="es-ES_tradnl"/>
        </w:rPr>
        <w:t>. “</w:t>
      </w:r>
      <w:r w:rsidR="00B9144D">
        <w:rPr>
          <w:rFonts w:ascii="Arial" w:hAnsi="Arial" w:cs="Arial"/>
          <w:b/>
          <w:bCs/>
          <w:i/>
          <w:iCs/>
          <w:sz w:val="20"/>
          <w:szCs w:val="20"/>
          <w:lang w:val="es-ES_tradnl"/>
        </w:rPr>
        <w:t>Nike Argentina SRL</w:t>
      </w:r>
      <w:r w:rsidR="00DE7A2E" w:rsidRPr="00DE7A2E">
        <w:rPr>
          <w:rFonts w:ascii="Arial" w:hAnsi="Arial" w:cs="Arial"/>
          <w:b/>
          <w:bCs/>
          <w:i/>
          <w:iCs/>
          <w:sz w:val="20"/>
          <w:szCs w:val="20"/>
          <w:lang w:val="es-ES_tradnl"/>
        </w:rPr>
        <w:t xml:space="preserve"> c/ </w:t>
      </w:r>
      <w:r w:rsidR="00514046">
        <w:rPr>
          <w:rFonts w:ascii="Arial" w:hAnsi="Arial" w:cs="Arial"/>
          <w:b/>
          <w:bCs/>
          <w:i/>
          <w:iCs/>
          <w:sz w:val="20"/>
          <w:szCs w:val="20"/>
          <w:lang w:val="es-ES_tradnl"/>
        </w:rPr>
        <w:t xml:space="preserve">Ciudad Autónoma </w:t>
      </w:r>
      <w:r w:rsidR="00DE7A2E" w:rsidRPr="00DE7A2E">
        <w:rPr>
          <w:rFonts w:ascii="Arial" w:hAnsi="Arial" w:cs="Arial"/>
          <w:b/>
          <w:bCs/>
          <w:i/>
          <w:iCs/>
          <w:sz w:val="20"/>
          <w:szCs w:val="20"/>
          <w:lang w:val="es-ES_tradnl"/>
        </w:rPr>
        <w:t>de Buenos Aires”</w:t>
      </w:r>
      <w:r w:rsidR="00514046">
        <w:rPr>
          <w:rFonts w:ascii="Arial" w:hAnsi="Arial" w:cs="Arial"/>
          <w:b/>
          <w:bCs/>
          <w:sz w:val="20"/>
          <w:szCs w:val="20"/>
          <w:lang w:val="es-ES_tradnl"/>
        </w:rPr>
        <w:t xml:space="preserve">. </w:t>
      </w:r>
      <w:r w:rsidR="00514046">
        <w:rPr>
          <w:rFonts w:ascii="Arial" w:hAnsi="Arial" w:cs="Arial"/>
          <w:sz w:val="20"/>
          <w:szCs w:val="20"/>
          <w:lang w:val="es-ES_tradnl"/>
        </w:rPr>
        <w:t xml:space="preserve">Regalías. </w:t>
      </w:r>
      <w:r w:rsidR="00AB03F2">
        <w:rPr>
          <w:rFonts w:ascii="Arial" w:hAnsi="Arial" w:cs="Arial"/>
          <w:sz w:val="20"/>
          <w:szCs w:val="20"/>
          <w:lang w:val="es-ES_tradnl"/>
        </w:rPr>
        <w:t xml:space="preserve">Se consideran gastos computables. </w:t>
      </w:r>
      <w:r w:rsidR="001352E9">
        <w:rPr>
          <w:rFonts w:ascii="Arial" w:hAnsi="Arial" w:cs="Arial"/>
          <w:sz w:val="20"/>
          <w:szCs w:val="20"/>
          <w:lang w:val="es-ES_tradnl"/>
        </w:rPr>
        <w:t>Se confirma la Resolución de la Comisión Arbitral</w:t>
      </w:r>
      <w:r w:rsidR="00B779C8">
        <w:rPr>
          <w:rFonts w:ascii="Arial" w:hAnsi="Arial" w:cs="Arial"/>
          <w:bCs/>
          <w:iCs/>
          <w:sz w:val="20"/>
          <w:szCs w:val="20"/>
          <w:lang w:val="es-ES_tradnl"/>
        </w:rPr>
        <w:t>.</w:t>
      </w:r>
    </w:p>
    <w:p w14:paraId="2E433BDC" w14:textId="2406C50F" w:rsidR="0098171C" w:rsidRPr="0098171C" w:rsidRDefault="00DE7A2E" w:rsidP="00DE7A2E">
      <w:pPr>
        <w:pStyle w:val="Prrafodelista"/>
        <w:numPr>
          <w:ilvl w:val="0"/>
          <w:numId w:val="1"/>
        </w:numPr>
        <w:snapToGrid w:val="0"/>
        <w:spacing w:after="240" w:line="360" w:lineRule="auto"/>
        <w:contextualSpacing w:val="0"/>
        <w:jc w:val="both"/>
        <w:rPr>
          <w:rFonts w:ascii="Arial" w:hAnsi="Arial" w:cs="Arial"/>
          <w:b/>
          <w:bCs/>
          <w:sz w:val="20"/>
          <w:szCs w:val="20"/>
          <w:u w:val="single"/>
          <w:lang w:val="es-ES_tradnl"/>
        </w:rPr>
      </w:pPr>
      <w:r w:rsidRPr="00EB767C">
        <w:rPr>
          <w:rFonts w:ascii="Arial" w:hAnsi="Arial" w:cs="Arial"/>
          <w:b/>
          <w:bCs/>
          <w:sz w:val="20"/>
          <w:szCs w:val="20"/>
          <w:lang w:val="es-ES_tradnl"/>
        </w:rPr>
        <w:t xml:space="preserve">R. (CA) </w:t>
      </w:r>
      <w:r w:rsidR="00B233C8">
        <w:rPr>
          <w:rFonts w:ascii="Arial" w:hAnsi="Arial" w:cs="Arial"/>
          <w:b/>
          <w:bCs/>
          <w:sz w:val="20"/>
          <w:szCs w:val="20"/>
          <w:lang w:val="es-ES_tradnl"/>
        </w:rPr>
        <w:t>4</w:t>
      </w:r>
      <w:r w:rsidRPr="00EB767C">
        <w:rPr>
          <w:rFonts w:ascii="Arial" w:hAnsi="Arial" w:cs="Arial"/>
          <w:b/>
          <w:bCs/>
          <w:sz w:val="20"/>
          <w:szCs w:val="20"/>
          <w:lang w:val="es-ES_tradnl"/>
        </w:rPr>
        <w:t>/202</w:t>
      </w:r>
      <w:r w:rsidR="00B233C8">
        <w:rPr>
          <w:rFonts w:ascii="Arial" w:hAnsi="Arial" w:cs="Arial"/>
          <w:b/>
          <w:bCs/>
          <w:sz w:val="20"/>
          <w:szCs w:val="20"/>
          <w:lang w:val="es-ES_tradnl"/>
        </w:rPr>
        <w:t>4</w:t>
      </w:r>
      <w:r w:rsidRPr="00EB767C">
        <w:rPr>
          <w:rFonts w:ascii="Arial" w:hAnsi="Arial" w:cs="Arial"/>
          <w:b/>
          <w:bCs/>
          <w:sz w:val="20"/>
          <w:szCs w:val="20"/>
          <w:lang w:val="es-ES_tradnl"/>
        </w:rPr>
        <w:t>. “</w:t>
      </w:r>
      <w:r w:rsidR="00B233C8" w:rsidRPr="00B233C8">
        <w:rPr>
          <w:rFonts w:ascii="Arial" w:hAnsi="Arial" w:cs="Arial"/>
          <w:b/>
          <w:bCs/>
          <w:i/>
          <w:iCs/>
          <w:sz w:val="20"/>
          <w:szCs w:val="20"/>
          <w:lang w:val="es-ES_tradnl"/>
        </w:rPr>
        <w:t>Metalpar Argentina SA c/ Ciudad Autónoma de Buenos Aires</w:t>
      </w:r>
      <w:r w:rsidRPr="00EB767C">
        <w:rPr>
          <w:rFonts w:ascii="Arial" w:hAnsi="Arial" w:cs="Arial"/>
          <w:b/>
          <w:bCs/>
          <w:i/>
          <w:iCs/>
          <w:sz w:val="20"/>
          <w:szCs w:val="20"/>
          <w:lang w:val="es-ES_tradnl"/>
        </w:rPr>
        <w:t>”</w:t>
      </w:r>
      <w:r w:rsidRPr="00EB767C">
        <w:rPr>
          <w:rFonts w:ascii="Arial" w:hAnsi="Arial" w:cs="Arial"/>
          <w:sz w:val="20"/>
          <w:szCs w:val="20"/>
          <w:lang w:val="es-ES_tradnl"/>
        </w:rPr>
        <w:t xml:space="preserve">. </w:t>
      </w:r>
      <w:r w:rsidR="00F47FB4">
        <w:rPr>
          <w:rFonts w:ascii="Arial" w:hAnsi="Arial" w:cs="Arial"/>
          <w:sz w:val="20"/>
          <w:szCs w:val="20"/>
          <w:lang w:val="es-ES_tradnl"/>
        </w:rPr>
        <w:t xml:space="preserve">Atribución de ingresos por el “lugar de entrega”.  </w:t>
      </w:r>
      <w:r w:rsidR="00881159" w:rsidRPr="00881159">
        <w:rPr>
          <w:rFonts w:ascii="Arial" w:hAnsi="Arial" w:cs="Arial"/>
          <w:sz w:val="20"/>
          <w:szCs w:val="20"/>
          <w:lang w:val="es-ES_tradnl"/>
        </w:rPr>
        <w:t>El hecho de que la mercadería pueda haber sido “entregada” en un determinado lugar no determina que el origen de los ingresos derive de ese lugar de entrega</w:t>
      </w:r>
      <w:r w:rsidR="00881159">
        <w:rPr>
          <w:rFonts w:ascii="Arial" w:hAnsi="Arial" w:cs="Arial"/>
          <w:sz w:val="20"/>
          <w:szCs w:val="20"/>
          <w:lang w:val="es-ES_tradnl"/>
        </w:rPr>
        <w:t xml:space="preserve">. </w:t>
      </w:r>
      <w:r w:rsidR="0098171C" w:rsidRPr="0098171C">
        <w:rPr>
          <w:rFonts w:ascii="Arial" w:hAnsi="Arial" w:cs="Arial"/>
          <w:sz w:val="20"/>
          <w:szCs w:val="20"/>
          <w:lang w:val="es-ES_tradnl"/>
        </w:rPr>
        <w:t>el hecho de que el contribuyente no tenga certeza del lugar de donde provienen los ingresos, no significa que sea correcto utilizar un criterio –lugar de entrega– que se aparte de la intencionalidad de la norma, y ante la realidad de que no ha sido posible conocer con certeza el lugar de donde provienen los ingresos, es decir, el lugar de destino final de los bienes comercializados, hace, necesariamente, que la jurisdicción deba recurrir a la utilización de una metodología de presunciones</w:t>
      </w:r>
      <w:r w:rsidR="0098171C">
        <w:rPr>
          <w:rFonts w:ascii="Arial" w:hAnsi="Arial" w:cs="Arial"/>
          <w:sz w:val="20"/>
          <w:szCs w:val="20"/>
          <w:lang w:val="es-ES_tradnl"/>
        </w:rPr>
        <w:t>.</w:t>
      </w:r>
      <w:r w:rsidR="00DA14BB">
        <w:rPr>
          <w:rFonts w:ascii="Arial" w:hAnsi="Arial" w:cs="Arial"/>
          <w:sz w:val="20"/>
          <w:szCs w:val="20"/>
          <w:lang w:val="es-ES_tradnl"/>
        </w:rPr>
        <w:t xml:space="preserve"> Se rechaza la acción.</w:t>
      </w:r>
    </w:p>
    <w:p w14:paraId="56ACAE92" w14:textId="52636966" w:rsidR="00115ECD" w:rsidRDefault="00DA14BB" w:rsidP="00DA14BB">
      <w:pPr>
        <w:pStyle w:val="Prrafodelista"/>
        <w:numPr>
          <w:ilvl w:val="0"/>
          <w:numId w:val="1"/>
        </w:numPr>
        <w:snapToGrid w:val="0"/>
        <w:spacing w:after="240" w:line="360" w:lineRule="auto"/>
        <w:jc w:val="both"/>
        <w:rPr>
          <w:rFonts w:ascii="Arial" w:hAnsi="Arial" w:cs="Arial"/>
          <w:sz w:val="20"/>
          <w:szCs w:val="20"/>
          <w:lang w:val="es-ES_tradnl"/>
        </w:rPr>
      </w:pPr>
      <w:r w:rsidRPr="00DA14BB">
        <w:rPr>
          <w:rFonts w:ascii="Arial" w:hAnsi="Arial" w:cs="Arial"/>
          <w:b/>
          <w:bCs/>
          <w:sz w:val="20"/>
          <w:szCs w:val="20"/>
          <w:lang w:val="es-ES_tradnl"/>
        </w:rPr>
        <w:t xml:space="preserve">R. (CA) </w:t>
      </w:r>
      <w:r w:rsidR="00426470">
        <w:rPr>
          <w:rFonts w:ascii="Arial" w:hAnsi="Arial" w:cs="Arial"/>
          <w:b/>
          <w:bCs/>
          <w:sz w:val="20"/>
          <w:szCs w:val="20"/>
          <w:lang w:val="es-ES_tradnl"/>
        </w:rPr>
        <w:t>6</w:t>
      </w:r>
      <w:r w:rsidRPr="00DA14BB">
        <w:rPr>
          <w:rFonts w:ascii="Arial" w:hAnsi="Arial" w:cs="Arial"/>
          <w:b/>
          <w:bCs/>
          <w:sz w:val="20"/>
          <w:szCs w:val="20"/>
          <w:lang w:val="es-ES_tradnl"/>
        </w:rPr>
        <w:t>/2024. “</w:t>
      </w:r>
      <w:r w:rsidR="00426470" w:rsidRPr="00426470">
        <w:rPr>
          <w:rFonts w:ascii="Arial" w:hAnsi="Arial" w:cs="Arial"/>
          <w:b/>
          <w:bCs/>
          <w:i/>
          <w:iCs/>
          <w:sz w:val="20"/>
          <w:szCs w:val="20"/>
          <w:lang w:val="es-ES_tradnl"/>
        </w:rPr>
        <w:t>Amcor Rigid Packaging de Argentina SA c/ provincia de Buenos Aires”</w:t>
      </w:r>
      <w:r w:rsidRPr="00DA14BB">
        <w:rPr>
          <w:rFonts w:ascii="Arial" w:hAnsi="Arial" w:cs="Arial"/>
          <w:sz w:val="20"/>
          <w:szCs w:val="20"/>
          <w:lang w:val="es-ES_tradnl"/>
        </w:rPr>
        <w:t xml:space="preserve">. </w:t>
      </w:r>
      <w:r w:rsidR="00CE0F98">
        <w:rPr>
          <w:rFonts w:ascii="Arial" w:hAnsi="Arial" w:cs="Arial"/>
          <w:sz w:val="20"/>
          <w:szCs w:val="20"/>
          <w:lang w:val="es-ES_tradnl"/>
        </w:rPr>
        <w:t>E</w:t>
      </w:r>
      <w:r w:rsidR="00CE0F98" w:rsidRPr="00CE0F98">
        <w:rPr>
          <w:rFonts w:ascii="Arial" w:hAnsi="Arial" w:cs="Arial"/>
          <w:sz w:val="20"/>
          <w:szCs w:val="20"/>
          <w:lang w:val="es-ES_tradnl"/>
        </w:rPr>
        <w:t>l criterio de atribución de ingresos que el contribuyente sostiene, al cual se allana la jurisdicción</w:t>
      </w:r>
      <w:r w:rsidR="00D02A90">
        <w:rPr>
          <w:rFonts w:ascii="Arial" w:hAnsi="Arial" w:cs="Arial"/>
          <w:sz w:val="20"/>
          <w:szCs w:val="20"/>
          <w:lang w:val="es-ES_tradnl"/>
        </w:rPr>
        <w:t xml:space="preserve">. El lugar de entrega </w:t>
      </w:r>
      <w:r w:rsidR="00D02A90" w:rsidRPr="00D02A90">
        <w:rPr>
          <w:rFonts w:ascii="Arial" w:hAnsi="Arial" w:cs="Arial"/>
          <w:sz w:val="20"/>
          <w:szCs w:val="20"/>
          <w:lang w:val="es-ES_tradnl"/>
        </w:rPr>
        <w:t>resulta acreditado</w:t>
      </w:r>
      <w:r w:rsidR="00D02A90">
        <w:rPr>
          <w:rFonts w:ascii="Arial" w:hAnsi="Arial" w:cs="Arial"/>
          <w:sz w:val="20"/>
          <w:szCs w:val="20"/>
          <w:lang w:val="es-ES_tradnl"/>
        </w:rPr>
        <w:t xml:space="preserve"> con</w:t>
      </w:r>
      <w:r w:rsidR="00D02A90" w:rsidRPr="00D02A90">
        <w:rPr>
          <w:rFonts w:ascii="Arial" w:hAnsi="Arial" w:cs="Arial"/>
          <w:sz w:val="20"/>
          <w:szCs w:val="20"/>
          <w:lang w:val="es-ES_tradnl"/>
        </w:rPr>
        <w:t xml:space="preserve"> los domicilios correspondientes al destino final de los bienes y, más aún, surge que éstos coinciden con los domicilios de las plantas fabriles de los clientes, los cuales conoce dada la relación fluida con sus clientes</w:t>
      </w:r>
      <w:r w:rsidR="00583612">
        <w:rPr>
          <w:rFonts w:ascii="Arial" w:hAnsi="Arial" w:cs="Arial"/>
          <w:sz w:val="20"/>
          <w:szCs w:val="20"/>
          <w:lang w:val="es-ES_tradnl"/>
        </w:rPr>
        <w:t>. Se hace lugar a la acción.</w:t>
      </w:r>
    </w:p>
    <w:p w14:paraId="4BC2BF09" w14:textId="77777777" w:rsidR="0033645F" w:rsidRPr="00DA14BB" w:rsidRDefault="0033645F" w:rsidP="0033645F">
      <w:pPr>
        <w:pStyle w:val="Prrafodelista"/>
        <w:snapToGrid w:val="0"/>
        <w:spacing w:after="240" w:line="360" w:lineRule="auto"/>
        <w:ind w:left="360"/>
        <w:jc w:val="both"/>
        <w:rPr>
          <w:rFonts w:ascii="Arial" w:hAnsi="Arial" w:cs="Arial"/>
          <w:sz w:val="20"/>
          <w:szCs w:val="20"/>
          <w:lang w:val="es-ES_tradnl"/>
        </w:rPr>
      </w:pPr>
    </w:p>
    <w:p w14:paraId="4622545D" w14:textId="755241E8" w:rsidR="005103D6" w:rsidRDefault="005103D6" w:rsidP="005103D6">
      <w:pPr>
        <w:snapToGrid w:val="0"/>
        <w:spacing w:after="240" w:line="360" w:lineRule="auto"/>
        <w:jc w:val="both"/>
        <w:rPr>
          <w:rFonts w:ascii="Arial" w:hAnsi="Arial" w:cs="Arial"/>
          <w:b/>
          <w:bCs/>
          <w:sz w:val="20"/>
          <w:szCs w:val="20"/>
          <w:u w:val="single"/>
          <w:lang w:val="es-ES_tradnl"/>
        </w:rPr>
      </w:pPr>
      <w:r>
        <w:rPr>
          <w:rFonts w:ascii="Arial" w:hAnsi="Arial" w:cs="Arial"/>
          <w:b/>
          <w:bCs/>
          <w:sz w:val="20"/>
          <w:szCs w:val="20"/>
          <w:u w:val="single"/>
          <w:lang w:val="es-ES_tradnl"/>
        </w:rPr>
        <w:t>RES</w:t>
      </w:r>
      <w:r>
        <w:rPr>
          <w:rFonts w:ascii="Arial" w:hAnsi="Arial" w:cs="Arial"/>
          <w:b/>
          <w:bCs/>
          <w:sz w:val="20"/>
          <w:szCs w:val="20"/>
          <w:u w:val="single"/>
          <w:lang w:val="es-ES_tradnl"/>
        </w:rPr>
        <w:t>UMEN NORMATIVO</w:t>
      </w:r>
    </w:p>
    <w:p w14:paraId="237154A1" w14:textId="62714E7A" w:rsidR="005103D6" w:rsidRPr="005103D6" w:rsidRDefault="00583612" w:rsidP="005103D6">
      <w:pPr>
        <w:pStyle w:val="Prrafodelista"/>
        <w:numPr>
          <w:ilvl w:val="0"/>
          <w:numId w:val="1"/>
        </w:numPr>
        <w:snapToGrid w:val="0"/>
        <w:spacing w:after="240" w:line="360" w:lineRule="auto"/>
        <w:jc w:val="both"/>
        <w:rPr>
          <w:rFonts w:ascii="Arial" w:hAnsi="Arial" w:cs="Arial"/>
          <w:sz w:val="20"/>
          <w:szCs w:val="20"/>
          <w:lang w:val="es-ES_tradnl"/>
        </w:rPr>
      </w:pPr>
      <w:r>
        <w:rPr>
          <w:rFonts w:ascii="Arial" w:hAnsi="Arial" w:cs="Arial"/>
          <w:sz w:val="20"/>
          <w:szCs w:val="20"/>
          <w:lang w:val="es-ES_tradnl"/>
        </w:rPr>
        <w:lastRenderedPageBreak/>
        <w:t>Provincia de T</w:t>
      </w:r>
      <w:r w:rsidRPr="005103D6">
        <w:rPr>
          <w:rFonts w:ascii="Arial" w:hAnsi="Arial" w:cs="Arial"/>
          <w:sz w:val="20"/>
          <w:szCs w:val="20"/>
          <w:lang w:val="es-ES_tradnl"/>
        </w:rPr>
        <w:t xml:space="preserve">ucumán. </w:t>
      </w:r>
      <w:r w:rsidR="00DA7D6A">
        <w:rPr>
          <w:rFonts w:ascii="Arial" w:hAnsi="Arial" w:cs="Arial"/>
          <w:sz w:val="20"/>
          <w:szCs w:val="20"/>
          <w:lang w:val="es-ES_tradnl"/>
        </w:rPr>
        <w:t>I</w:t>
      </w:r>
      <w:r w:rsidRPr="005103D6">
        <w:rPr>
          <w:rFonts w:ascii="Arial" w:hAnsi="Arial" w:cs="Arial"/>
          <w:sz w:val="20"/>
          <w:szCs w:val="20"/>
          <w:lang w:val="es-ES_tradnl"/>
        </w:rPr>
        <w:t xml:space="preserve">ngresos brutos. </w:t>
      </w:r>
      <w:r w:rsidR="00DA7D6A">
        <w:rPr>
          <w:rFonts w:ascii="Arial" w:hAnsi="Arial" w:cs="Arial"/>
          <w:sz w:val="20"/>
          <w:szCs w:val="20"/>
          <w:lang w:val="es-ES_tradnl"/>
        </w:rPr>
        <w:t>R</w:t>
      </w:r>
      <w:r w:rsidRPr="005103D6">
        <w:rPr>
          <w:rFonts w:ascii="Arial" w:hAnsi="Arial" w:cs="Arial"/>
          <w:sz w:val="20"/>
          <w:szCs w:val="20"/>
          <w:lang w:val="es-ES_tradnl"/>
        </w:rPr>
        <w:t xml:space="preserve">égimen especial de percepción. </w:t>
      </w:r>
      <w:r w:rsidR="00DA7D6A">
        <w:rPr>
          <w:rFonts w:ascii="Arial" w:hAnsi="Arial" w:cs="Arial"/>
          <w:sz w:val="20"/>
          <w:szCs w:val="20"/>
          <w:lang w:val="es-ES_tradnl"/>
        </w:rPr>
        <w:t>N</w:t>
      </w:r>
      <w:r w:rsidRPr="005103D6">
        <w:rPr>
          <w:rFonts w:ascii="Arial" w:hAnsi="Arial" w:cs="Arial"/>
          <w:sz w:val="20"/>
          <w:szCs w:val="20"/>
          <w:lang w:val="es-ES_tradnl"/>
        </w:rPr>
        <w:t xml:space="preserve">uevos sujetos obligados. </w:t>
      </w:r>
      <w:r w:rsidR="00DA7D6A">
        <w:rPr>
          <w:rFonts w:ascii="Arial" w:hAnsi="Arial" w:cs="Arial"/>
          <w:sz w:val="20"/>
          <w:szCs w:val="20"/>
          <w:lang w:val="es-ES_tradnl"/>
        </w:rPr>
        <w:t>RG</w:t>
      </w:r>
      <w:r w:rsidRPr="005103D6">
        <w:rPr>
          <w:rFonts w:ascii="Arial" w:hAnsi="Arial" w:cs="Arial"/>
          <w:sz w:val="20"/>
          <w:szCs w:val="20"/>
          <w:lang w:val="es-ES_tradnl"/>
        </w:rPr>
        <w:t xml:space="preserve"> 86/2000; </w:t>
      </w:r>
      <w:r w:rsidR="00DA7D6A">
        <w:rPr>
          <w:rFonts w:ascii="Arial" w:hAnsi="Arial" w:cs="Arial"/>
          <w:sz w:val="20"/>
          <w:szCs w:val="20"/>
          <w:lang w:val="es-ES_tradnl"/>
        </w:rPr>
        <w:t>RG</w:t>
      </w:r>
      <w:r w:rsidRPr="005103D6">
        <w:rPr>
          <w:rFonts w:ascii="Arial" w:hAnsi="Arial" w:cs="Arial"/>
          <w:sz w:val="20"/>
          <w:szCs w:val="20"/>
          <w:lang w:val="es-ES_tradnl"/>
        </w:rPr>
        <w:t xml:space="preserve"> 22/2024</w:t>
      </w:r>
      <w:r w:rsidR="00DA7D6A">
        <w:rPr>
          <w:rFonts w:ascii="Arial" w:hAnsi="Arial" w:cs="Arial"/>
          <w:sz w:val="20"/>
          <w:szCs w:val="20"/>
          <w:lang w:val="es-ES_tradnl"/>
        </w:rPr>
        <w:t>.</w:t>
      </w:r>
    </w:p>
    <w:p w14:paraId="19CDCBF6" w14:textId="77E9A02E" w:rsidR="005103D6" w:rsidRPr="005103D6" w:rsidRDefault="00DA7D6A" w:rsidP="005103D6">
      <w:pPr>
        <w:pStyle w:val="Prrafodelista"/>
        <w:numPr>
          <w:ilvl w:val="0"/>
          <w:numId w:val="1"/>
        </w:numPr>
        <w:snapToGrid w:val="0"/>
        <w:spacing w:after="240" w:line="360" w:lineRule="auto"/>
        <w:jc w:val="both"/>
        <w:rPr>
          <w:rFonts w:ascii="Arial" w:hAnsi="Arial" w:cs="Arial"/>
          <w:sz w:val="20"/>
          <w:szCs w:val="20"/>
          <w:lang w:val="es-ES_tradnl"/>
        </w:rPr>
      </w:pPr>
      <w:r>
        <w:rPr>
          <w:rFonts w:ascii="Arial" w:hAnsi="Arial" w:cs="Arial"/>
          <w:sz w:val="20"/>
          <w:szCs w:val="20"/>
          <w:lang w:val="es-ES_tradnl"/>
        </w:rPr>
        <w:t xml:space="preserve">Provincia de </w:t>
      </w:r>
      <w:r>
        <w:rPr>
          <w:rFonts w:ascii="Arial" w:hAnsi="Arial" w:cs="Arial"/>
          <w:sz w:val="20"/>
          <w:szCs w:val="20"/>
          <w:lang w:val="es-ES_tradnl"/>
        </w:rPr>
        <w:t>F</w:t>
      </w:r>
      <w:r w:rsidRPr="005103D6">
        <w:rPr>
          <w:rFonts w:ascii="Arial" w:hAnsi="Arial" w:cs="Arial"/>
          <w:sz w:val="20"/>
          <w:szCs w:val="20"/>
          <w:lang w:val="es-ES_tradnl"/>
        </w:rPr>
        <w:t xml:space="preserve">ormosa. </w:t>
      </w:r>
      <w:r>
        <w:rPr>
          <w:rFonts w:ascii="Arial" w:hAnsi="Arial" w:cs="Arial"/>
          <w:sz w:val="20"/>
          <w:szCs w:val="20"/>
          <w:lang w:val="es-ES_tradnl"/>
        </w:rPr>
        <w:t>F</w:t>
      </w:r>
      <w:r w:rsidRPr="005103D6">
        <w:rPr>
          <w:rFonts w:ascii="Arial" w:hAnsi="Arial" w:cs="Arial"/>
          <w:sz w:val="20"/>
          <w:szCs w:val="20"/>
          <w:lang w:val="es-ES_tradnl"/>
        </w:rPr>
        <w:t>acilidades de pago</w:t>
      </w:r>
      <w:r>
        <w:rPr>
          <w:rFonts w:ascii="Arial" w:hAnsi="Arial" w:cs="Arial"/>
          <w:sz w:val="20"/>
          <w:szCs w:val="20"/>
          <w:lang w:val="es-ES_tradnl"/>
        </w:rPr>
        <w:t>,</w:t>
      </w:r>
      <w:r w:rsidRPr="005103D6">
        <w:rPr>
          <w:rFonts w:ascii="Arial" w:hAnsi="Arial" w:cs="Arial"/>
          <w:sz w:val="20"/>
          <w:szCs w:val="20"/>
          <w:lang w:val="es-ES_tradnl"/>
        </w:rPr>
        <w:t xml:space="preserve"> nuevo régimen de facilidades de pago permanente. </w:t>
      </w:r>
      <w:r>
        <w:rPr>
          <w:rFonts w:ascii="Arial" w:hAnsi="Arial" w:cs="Arial"/>
          <w:sz w:val="20"/>
          <w:szCs w:val="20"/>
          <w:lang w:val="es-ES_tradnl"/>
        </w:rPr>
        <w:t>RG</w:t>
      </w:r>
      <w:r w:rsidRPr="005103D6">
        <w:rPr>
          <w:rFonts w:ascii="Arial" w:hAnsi="Arial" w:cs="Arial"/>
          <w:sz w:val="20"/>
          <w:szCs w:val="20"/>
          <w:lang w:val="es-ES_tradnl"/>
        </w:rPr>
        <w:t xml:space="preserve"> 9/2024</w:t>
      </w:r>
      <w:r>
        <w:rPr>
          <w:rFonts w:ascii="Arial" w:hAnsi="Arial" w:cs="Arial"/>
          <w:sz w:val="20"/>
          <w:szCs w:val="20"/>
          <w:lang w:val="es-ES_tradnl"/>
        </w:rPr>
        <w:t>.</w:t>
      </w:r>
    </w:p>
    <w:p w14:paraId="5E1D3D2D" w14:textId="0066AAFF" w:rsidR="005103D6" w:rsidRPr="004553B4" w:rsidRDefault="00DA7D6A" w:rsidP="003B214D">
      <w:pPr>
        <w:pStyle w:val="Prrafodelista"/>
        <w:numPr>
          <w:ilvl w:val="0"/>
          <w:numId w:val="1"/>
        </w:numPr>
        <w:snapToGrid w:val="0"/>
        <w:spacing w:after="240" w:line="360" w:lineRule="auto"/>
        <w:jc w:val="both"/>
        <w:rPr>
          <w:rFonts w:ascii="Arial" w:hAnsi="Arial" w:cs="Arial"/>
          <w:sz w:val="20"/>
          <w:szCs w:val="20"/>
          <w:lang w:val="es-ES_tradnl"/>
        </w:rPr>
      </w:pPr>
      <w:r>
        <w:rPr>
          <w:rFonts w:ascii="Arial" w:hAnsi="Arial" w:cs="Arial"/>
          <w:sz w:val="20"/>
          <w:szCs w:val="20"/>
          <w:lang w:val="es-ES_tradnl"/>
        </w:rPr>
        <w:t xml:space="preserve">Provincia de </w:t>
      </w:r>
      <w:r>
        <w:rPr>
          <w:rFonts w:ascii="Arial" w:hAnsi="Arial" w:cs="Arial"/>
          <w:sz w:val="20"/>
          <w:szCs w:val="20"/>
          <w:lang w:val="es-ES_tradnl"/>
        </w:rPr>
        <w:t>Mendoza</w:t>
      </w:r>
      <w:r w:rsidR="005103D6" w:rsidRPr="004553B4">
        <w:rPr>
          <w:rFonts w:ascii="Arial" w:hAnsi="Arial" w:cs="Arial"/>
          <w:sz w:val="20"/>
          <w:szCs w:val="20"/>
          <w:lang w:val="es-ES_tradnl"/>
        </w:rPr>
        <w:t xml:space="preserve">. </w:t>
      </w:r>
      <w:r w:rsidRPr="004553B4">
        <w:rPr>
          <w:rFonts w:ascii="Arial" w:hAnsi="Arial" w:cs="Arial"/>
          <w:sz w:val="20"/>
          <w:szCs w:val="20"/>
          <w:lang w:val="es-ES_tradnl"/>
        </w:rPr>
        <w:t>Plan de facilidades de pago. Nuevas obligaciones comprendidas. Resolución general 42/2022; decreto 613/2024. Su norma reglamentaria: resolución general</w:t>
      </w:r>
      <w:r w:rsidR="005103D6" w:rsidRPr="004553B4">
        <w:rPr>
          <w:rFonts w:ascii="Arial" w:hAnsi="Arial" w:cs="Arial"/>
          <w:sz w:val="20"/>
          <w:szCs w:val="20"/>
          <w:lang w:val="es-ES_tradnl"/>
        </w:rPr>
        <w:t xml:space="preserve"> (ATM) 31/2024</w:t>
      </w:r>
      <w:r w:rsidR="004553B4">
        <w:rPr>
          <w:rFonts w:ascii="Arial" w:hAnsi="Arial" w:cs="Arial"/>
          <w:sz w:val="20"/>
          <w:szCs w:val="20"/>
          <w:lang w:val="es-ES_tradnl"/>
        </w:rPr>
        <w:t>.</w:t>
      </w:r>
    </w:p>
    <w:p w14:paraId="5A975F63" w14:textId="2C6333E0" w:rsidR="005103D6" w:rsidRPr="004553B4" w:rsidRDefault="000D0409" w:rsidP="008A1A4A">
      <w:pPr>
        <w:pStyle w:val="Prrafodelista"/>
        <w:numPr>
          <w:ilvl w:val="0"/>
          <w:numId w:val="1"/>
        </w:numPr>
        <w:snapToGrid w:val="0"/>
        <w:spacing w:after="240" w:line="360" w:lineRule="auto"/>
        <w:jc w:val="both"/>
        <w:rPr>
          <w:rFonts w:ascii="Arial" w:hAnsi="Arial" w:cs="Arial"/>
          <w:sz w:val="20"/>
          <w:szCs w:val="20"/>
          <w:lang w:val="es-ES_tradnl"/>
        </w:rPr>
      </w:pPr>
      <w:r>
        <w:rPr>
          <w:rFonts w:ascii="Arial" w:hAnsi="Arial" w:cs="Arial"/>
          <w:sz w:val="20"/>
          <w:szCs w:val="20"/>
          <w:lang w:val="es-ES_tradnl"/>
        </w:rPr>
        <w:t xml:space="preserve">Provincia de </w:t>
      </w:r>
      <w:r>
        <w:rPr>
          <w:rFonts w:ascii="Arial" w:hAnsi="Arial" w:cs="Arial"/>
          <w:sz w:val="20"/>
          <w:szCs w:val="20"/>
          <w:lang w:val="es-ES_tradnl"/>
        </w:rPr>
        <w:t>San Luis</w:t>
      </w:r>
      <w:r w:rsidR="005103D6" w:rsidRPr="004553B4">
        <w:rPr>
          <w:rFonts w:ascii="Arial" w:hAnsi="Arial" w:cs="Arial"/>
          <w:sz w:val="20"/>
          <w:szCs w:val="20"/>
          <w:lang w:val="es-ES_tradnl"/>
        </w:rPr>
        <w:t xml:space="preserve">. </w:t>
      </w:r>
      <w:r w:rsidRPr="004553B4">
        <w:rPr>
          <w:rFonts w:ascii="Arial" w:hAnsi="Arial" w:cs="Arial"/>
          <w:sz w:val="20"/>
          <w:szCs w:val="20"/>
          <w:lang w:val="es-ES_tradnl"/>
        </w:rPr>
        <w:t xml:space="preserve">Procedimiento. Facilidades de pago. Régimen de regularización sinceramiento de deudas: </w:t>
      </w:r>
      <w:r>
        <w:rPr>
          <w:rFonts w:ascii="Arial" w:hAnsi="Arial" w:cs="Arial"/>
          <w:sz w:val="20"/>
          <w:szCs w:val="20"/>
          <w:lang w:val="es-ES_tradnl"/>
        </w:rPr>
        <w:t>L</w:t>
      </w:r>
      <w:r w:rsidRPr="004553B4">
        <w:rPr>
          <w:rFonts w:ascii="Arial" w:hAnsi="Arial" w:cs="Arial"/>
          <w:sz w:val="20"/>
          <w:szCs w:val="20"/>
          <w:lang w:val="es-ES_tradnl"/>
        </w:rPr>
        <w:t>ey viii-1116/2024. Su norma reglamentaria: resolución general 17/2024</w:t>
      </w:r>
      <w:r w:rsidR="004553B4">
        <w:rPr>
          <w:rFonts w:ascii="Arial" w:hAnsi="Arial" w:cs="Arial"/>
          <w:sz w:val="20"/>
          <w:szCs w:val="20"/>
          <w:lang w:val="es-ES_tradnl"/>
        </w:rPr>
        <w:t>.</w:t>
      </w:r>
    </w:p>
    <w:p w14:paraId="7C3351E5" w14:textId="6C3BA533" w:rsidR="005103D6" w:rsidRPr="004553B4" w:rsidRDefault="000D0409" w:rsidP="004553B4">
      <w:pPr>
        <w:pStyle w:val="Prrafodelista"/>
        <w:numPr>
          <w:ilvl w:val="0"/>
          <w:numId w:val="1"/>
        </w:numPr>
        <w:snapToGrid w:val="0"/>
        <w:spacing w:after="240" w:line="360" w:lineRule="auto"/>
        <w:jc w:val="both"/>
        <w:rPr>
          <w:rFonts w:ascii="Arial" w:hAnsi="Arial" w:cs="Arial"/>
          <w:sz w:val="20"/>
          <w:szCs w:val="20"/>
          <w:lang w:val="es-ES_tradnl"/>
        </w:rPr>
      </w:pPr>
      <w:r>
        <w:rPr>
          <w:rFonts w:ascii="Arial" w:hAnsi="Arial" w:cs="Arial"/>
          <w:sz w:val="20"/>
          <w:szCs w:val="20"/>
          <w:lang w:val="es-ES_tradnl"/>
        </w:rPr>
        <w:t xml:space="preserve">Provincia de </w:t>
      </w:r>
      <w:r>
        <w:rPr>
          <w:rFonts w:ascii="Arial" w:hAnsi="Arial" w:cs="Arial"/>
          <w:sz w:val="20"/>
          <w:szCs w:val="20"/>
          <w:lang w:val="es-ES_tradnl"/>
        </w:rPr>
        <w:t>Santiago del Estero</w:t>
      </w:r>
      <w:r w:rsidRPr="004553B4">
        <w:rPr>
          <w:rFonts w:ascii="Arial" w:hAnsi="Arial" w:cs="Arial"/>
          <w:sz w:val="20"/>
          <w:szCs w:val="20"/>
          <w:lang w:val="es-ES_tradnl"/>
        </w:rPr>
        <w:t xml:space="preserve">. </w:t>
      </w:r>
      <w:r>
        <w:rPr>
          <w:rFonts w:ascii="Arial" w:hAnsi="Arial" w:cs="Arial"/>
          <w:sz w:val="20"/>
          <w:szCs w:val="20"/>
          <w:lang w:val="es-ES_tradnl"/>
        </w:rPr>
        <w:t>P</w:t>
      </w:r>
      <w:r w:rsidRPr="004553B4">
        <w:rPr>
          <w:rFonts w:ascii="Arial" w:hAnsi="Arial" w:cs="Arial"/>
          <w:sz w:val="20"/>
          <w:szCs w:val="20"/>
          <w:lang w:val="es-ES_tradnl"/>
        </w:rPr>
        <w:t xml:space="preserve">rocedimiento. certificado de conducta fiscal. nuevo control para su otorgamiento: </w:t>
      </w:r>
      <w:r>
        <w:rPr>
          <w:rFonts w:ascii="Arial" w:hAnsi="Arial" w:cs="Arial"/>
          <w:sz w:val="20"/>
          <w:szCs w:val="20"/>
          <w:lang w:val="es-ES_tradnl"/>
        </w:rPr>
        <w:t>RG</w:t>
      </w:r>
      <w:r w:rsidRPr="004553B4">
        <w:rPr>
          <w:rFonts w:ascii="Arial" w:hAnsi="Arial" w:cs="Arial"/>
          <w:sz w:val="20"/>
          <w:szCs w:val="20"/>
          <w:lang w:val="es-ES_tradnl"/>
        </w:rPr>
        <w:t xml:space="preserve"> 14/2024</w:t>
      </w:r>
      <w:r>
        <w:rPr>
          <w:rFonts w:ascii="Arial" w:hAnsi="Arial" w:cs="Arial"/>
          <w:sz w:val="20"/>
          <w:szCs w:val="20"/>
          <w:lang w:val="es-ES_tradnl"/>
        </w:rPr>
        <w:t>.</w:t>
      </w:r>
    </w:p>
    <w:p w14:paraId="58612F51" w14:textId="1D58F633" w:rsidR="005103D6" w:rsidRPr="004553B4" w:rsidRDefault="000D0409" w:rsidP="004553B4">
      <w:pPr>
        <w:pStyle w:val="Prrafodelista"/>
        <w:numPr>
          <w:ilvl w:val="0"/>
          <w:numId w:val="1"/>
        </w:numPr>
        <w:snapToGrid w:val="0"/>
        <w:spacing w:after="240" w:line="360" w:lineRule="auto"/>
        <w:jc w:val="both"/>
        <w:rPr>
          <w:rFonts w:ascii="Arial" w:hAnsi="Arial" w:cs="Arial"/>
          <w:sz w:val="20"/>
          <w:szCs w:val="20"/>
          <w:lang w:val="es-ES_tradnl"/>
        </w:rPr>
      </w:pPr>
      <w:r>
        <w:rPr>
          <w:rFonts w:ascii="Arial" w:hAnsi="Arial" w:cs="Arial"/>
          <w:sz w:val="20"/>
          <w:szCs w:val="20"/>
          <w:lang w:val="es-ES_tradnl"/>
        </w:rPr>
        <w:t>Provincia de</w:t>
      </w:r>
      <w:r w:rsidRPr="004553B4">
        <w:rPr>
          <w:rFonts w:ascii="Arial" w:hAnsi="Arial" w:cs="Arial"/>
          <w:sz w:val="20"/>
          <w:szCs w:val="20"/>
          <w:lang w:val="es-ES_tradnl"/>
        </w:rPr>
        <w:t xml:space="preserve"> </w:t>
      </w:r>
      <w:r>
        <w:rPr>
          <w:rFonts w:ascii="Arial" w:hAnsi="Arial" w:cs="Arial"/>
          <w:sz w:val="20"/>
          <w:szCs w:val="20"/>
          <w:lang w:val="es-ES_tradnl"/>
        </w:rPr>
        <w:t>del N</w:t>
      </w:r>
      <w:r w:rsidRPr="004553B4">
        <w:rPr>
          <w:rFonts w:ascii="Arial" w:hAnsi="Arial" w:cs="Arial"/>
          <w:sz w:val="20"/>
          <w:szCs w:val="20"/>
          <w:lang w:val="es-ES_tradnl"/>
        </w:rPr>
        <w:t>euqu</w:t>
      </w:r>
      <w:r>
        <w:rPr>
          <w:rFonts w:ascii="Arial" w:hAnsi="Arial" w:cs="Arial"/>
          <w:sz w:val="20"/>
          <w:szCs w:val="20"/>
          <w:lang w:val="es-ES_tradnl"/>
        </w:rPr>
        <w:t>é</w:t>
      </w:r>
      <w:r w:rsidRPr="004553B4">
        <w:rPr>
          <w:rFonts w:ascii="Arial" w:hAnsi="Arial" w:cs="Arial"/>
          <w:sz w:val="20"/>
          <w:szCs w:val="20"/>
          <w:lang w:val="es-ES_tradnl"/>
        </w:rPr>
        <w:t>n. Ingresos brutos. Régimen general de retención. Nuevos importes mínimos no sujetos a retención</w:t>
      </w:r>
      <w:r>
        <w:rPr>
          <w:rFonts w:ascii="Arial" w:hAnsi="Arial" w:cs="Arial"/>
          <w:sz w:val="20"/>
          <w:szCs w:val="20"/>
          <w:lang w:val="es-ES_tradnl"/>
        </w:rPr>
        <w:t>.</w:t>
      </w:r>
    </w:p>
    <w:p w14:paraId="75EB6AC6" w14:textId="1B70249C" w:rsidR="005103D6" w:rsidRPr="004553B4" w:rsidRDefault="000D0409" w:rsidP="004553B4">
      <w:pPr>
        <w:pStyle w:val="Prrafodelista"/>
        <w:numPr>
          <w:ilvl w:val="0"/>
          <w:numId w:val="1"/>
        </w:numPr>
        <w:snapToGrid w:val="0"/>
        <w:spacing w:after="240" w:line="360" w:lineRule="auto"/>
        <w:jc w:val="both"/>
        <w:rPr>
          <w:rFonts w:ascii="Arial" w:hAnsi="Arial" w:cs="Arial"/>
          <w:sz w:val="20"/>
          <w:szCs w:val="20"/>
          <w:lang w:val="es-ES_tradnl"/>
        </w:rPr>
      </w:pPr>
      <w:r>
        <w:rPr>
          <w:rFonts w:ascii="Arial" w:hAnsi="Arial" w:cs="Arial"/>
          <w:sz w:val="20"/>
          <w:szCs w:val="20"/>
          <w:lang w:val="es-ES_tradnl"/>
        </w:rPr>
        <w:t>C</w:t>
      </w:r>
      <w:r w:rsidRPr="004553B4">
        <w:rPr>
          <w:rFonts w:ascii="Arial" w:hAnsi="Arial" w:cs="Arial"/>
          <w:sz w:val="20"/>
          <w:szCs w:val="20"/>
          <w:lang w:val="es-ES_tradnl"/>
        </w:rPr>
        <w:t xml:space="preserve">iudad de </w:t>
      </w:r>
      <w:r>
        <w:rPr>
          <w:rFonts w:ascii="Arial" w:hAnsi="Arial" w:cs="Arial"/>
          <w:sz w:val="20"/>
          <w:szCs w:val="20"/>
          <w:lang w:val="es-ES_tradnl"/>
        </w:rPr>
        <w:t>B</w:t>
      </w:r>
      <w:r w:rsidRPr="004553B4">
        <w:rPr>
          <w:rFonts w:ascii="Arial" w:hAnsi="Arial" w:cs="Arial"/>
          <w:sz w:val="20"/>
          <w:szCs w:val="20"/>
          <w:lang w:val="es-ES_tradnl"/>
        </w:rPr>
        <w:t xml:space="preserve">uenos </w:t>
      </w:r>
      <w:r>
        <w:rPr>
          <w:rFonts w:ascii="Arial" w:hAnsi="Arial" w:cs="Arial"/>
          <w:sz w:val="20"/>
          <w:szCs w:val="20"/>
          <w:lang w:val="es-ES_tradnl"/>
        </w:rPr>
        <w:t>A</w:t>
      </w:r>
      <w:r w:rsidRPr="004553B4">
        <w:rPr>
          <w:rFonts w:ascii="Arial" w:hAnsi="Arial" w:cs="Arial"/>
          <w:sz w:val="20"/>
          <w:szCs w:val="20"/>
          <w:lang w:val="es-ES_tradnl"/>
        </w:rPr>
        <w:t xml:space="preserve">ires. </w:t>
      </w:r>
      <w:r>
        <w:rPr>
          <w:rFonts w:ascii="Arial" w:hAnsi="Arial" w:cs="Arial"/>
          <w:sz w:val="20"/>
          <w:szCs w:val="20"/>
          <w:lang w:val="es-ES_tradnl"/>
        </w:rPr>
        <w:t>N</w:t>
      </w:r>
      <w:r w:rsidRPr="004553B4">
        <w:rPr>
          <w:rFonts w:ascii="Arial" w:hAnsi="Arial" w:cs="Arial"/>
          <w:sz w:val="20"/>
          <w:szCs w:val="20"/>
          <w:lang w:val="es-ES_tradnl"/>
        </w:rPr>
        <w:t xml:space="preserve">uevo texto ordenado 2024 del </w:t>
      </w:r>
      <w:r>
        <w:rPr>
          <w:rFonts w:ascii="Arial" w:hAnsi="Arial" w:cs="Arial"/>
          <w:sz w:val="20"/>
          <w:szCs w:val="20"/>
          <w:lang w:val="es-ES_tradnl"/>
        </w:rPr>
        <w:t>C</w:t>
      </w:r>
      <w:r w:rsidRPr="004553B4">
        <w:rPr>
          <w:rFonts w:ascii="Arial" w:hAnsi="Arial" w:cs="Arial"/>
          <w:sz w:val="20"/>
          <w:szCs w:val="20"/>
          <w:lang w:val="es-ES_tradnl"/>
        </w:rPr>
        <w:t xml:space="preserve">ódigo </w:t>
      </w:r>
      <w:r>
        <w:rPr>
          <w:rFonts w:ascii="Arial" w:hAnsi="Arial" w:cs="Arial"/>
          <w:sz w:val="20"/>
          <w:szCs w:val="20"/>
          <w:lang w:val="es-ES_tradnl"/>
        </w:rPr>
        <w:t>F</w:t>
      </w:r>
      <w:r w:rsidRPr="004553B4">
        <w:rPr>
          <w:rFonts w:ascii="Arial" w:hAnsi="Arial" w:cs="Arial"/>
          <w:sz w:val="20"/>
          <w:szCs w:val="20"/>
          <w:lang w:val="es-ES_tradnl"/>
        </w:rPr>
        <w:t xml:space="preserve">iscal. </w:t>
      </w:r>
      <w:r>
        <w:rPr>
          <w:rFonts w:ascii="Arial" w:hAnsi="Arial" w:cs="Arial"/>
          <w:sz w:val="20"/>
          <w:szCs w:val="20"/>
          <w:lang w:val="es-ES_tradnl"/>
        </w:rPr>
        <w:t>D</w:t>
      </w:r>
      <w:r w:rsidRPr="004553B4">
        <w:rPr>
          <w:rFonts w:ascii="Arial" w:hAnsi="Arial" w:cs="Arial"/>
          <w:sz w:val="20"/>
          <w:szCs w:val="20"/>
          <w:lang w:val="es-ES_tradnl"/>
        </w:rPr>
        <w:t>ecreto 174/2024</w:t>
      </w:r>
      <w:r>
        <w:rPr>
          <w:rFonts w:ascii="Arial" w:hAnsi="Arial" w:cs="Arial"/>
          <w:sz w:val="20"/>
          <w:szCs w:val="20"/>
          <w:lang w:val="es-ES_tradnl"/>
        </w:rPr>
        <w:t>.</w:t>
      </w:r>
    </w:p>
    <w:sectPr w:rsidR="005103D6" w:rsidRPr="004553B4">
      <w:footerReference w:type="even"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10729" w14:textId="77777777" w:rsidR="009738D5" w:rsidRDefault="009738D5" w:rsidP="000E4011">
      <w:r>
        <w:separator/>
      </w:r>
    </w:p>
  </w:endnote>
  <w:endnote w:type="continuationSeparator" w:id="0">
    <w:p w14:paraId="3995CE8E" w14:textId="77777777" w:rsidR="009738D5" w:rsidRDefault="009738D5" w:rsidP="000E4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rPr>
      <w:id w:val="-422561818"/>
      <w:docPartObj>
        <w:docPartGallery w:val="Page Numbers (Bottom of Page)"/>
        <w:docPartUnique/>
      </w:docPartObj>
    </w:sdtPr>
    <w:sdtEndPr>
      <w:rPr>
        <w:rStyle w:val="Nmerodepgina"/>
      </w:rPr>
    </w:sdtEndPr>
    <w:sdtContent>
      <w:p w14:paraId="2B428B6D" w14:textId="57DB7750" w:rsidR="000E4011" w:rsidRDefault="000E4011" w:rsidP="006A7B86">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056EFEC3" w14:textId="77777777" w:rsidR="000E4011" w:rsidRDefault="000E4011" w:rsidP="000E401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rPr>
      <w:id w:val="927011534"/>
      <w:docPartObj>
        <w:docPartGallery w:val="Page Numbers (Bottom of Page)"/>
        <w:docPartUnique/>
      </w:docPartObj>
    </w:sdtPr>
    <w:sdtEndPr>
      <w:rPr>
        <w:rStyle w:val="Nmerodepgina"/>
      </w:rPr>
    </w:sdtEndPr>
    <w:sdtContent>
      <w:p w14:paraId="675054BE" w14:textId="6EC2E1D5" w:rsidR="000E4011" w:rsidRDefault="000E4011" w:rsidP="006A7B86">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63228A">
          <w:rPr>
            <w:rStyle w:val="Nmerodepgina"/>
            <w:noProof/>
          </w:rPr>
          <w:t>4</w:t>
        </w:r>
        <w:r>
          <w:rPr>
            <w:rStyle w:val="Nmerodepgina"/>
          </w:rPr>
          <w:fldChar w:fldCharType="end"/>
        </w:r>
      </w:p>
    </w:sdtContent>
  </w:sdt>
  <w:p w14:paraId="67F07726" w14:textId="77777777" w:rsidR="000E4011" w:rsidRDefault="000E4011" w:rsidP="000E4011">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0CDF24" w14:textId="77777777" w:rsidR="009738D5" w:rsidRDefault="009738D5" w:rsidP="000E4011">
      <w:r>
        <w:separator/>
      </w:r>
    </w:p>
  </w:footnote>
  <w:footnote w:type="continuationSeparator" w:id="0">
    <w:p w14:paraId="40569B87" w14:textId="77777777" w:rsidR="009738D5" w:rsidRDefault="009738D5" w:rsidP="000E40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A05DB5"/>
    <w:multiLevelType w:val="hybridMultilevel"/>
    <w:tmpl w:val="77A0B2C6"/>
    <w:lvl w:ilvl="0" w:tplc="C81C6DF4">
      <w:start w:val="1"/>
      <w:numFmt w:val="decimal"/>
      <w:lvlText w:val="%1."/>
      <w:lvlJc w:val="left"/>
      <w:pPr>
        <w:ind w:left="360" w:hanging="360"/>
      </w:pPr>
      <w:rPr>
        <w:b/>
        <w:bCs/>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60642CFF"/>
    <w:multiLevelType w:val="hybridMultilevel"/>
    <w:tmpl w:val="FB0456D6"/>
    <w:lvl w:ilvl="0" w:tplc="A752A1BA">
      <w:start w:val="18"/>
      <w:numFmt w:val="bullet"/>
      <w:lvlText w:val=""/>
      <w:lvlJc w:val="left"/>
      <w:pPr>
        <w:ind w:left="720" w:hanging="360"/>
      </w:pPr>
      <w:rPr>
        <w:rFonts w:ascii="Symbol" w:eastAsiaTheme="minorHAnsi" w:hAnsi="Symbo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291637869">
    <w:abstractNumId w:val="0"/>
  </w:num>
  <w:num w:numId="2" w16cid:durableId="5795653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40E1"/>
    <w:rsid w:val="00021B13"/>
    <w:rsid w:val="0003369B"/>
    <w:rsid w:val="00035AF3"/>
    <w:rsid w:val="000B047D"/>
    <w:rsid w:val="000C05AB"/>
    <w:rsid w:val="000C53BE"/>
    <w:rsid w:val="000C57F3"/>
    <w:rsid w:val="000D0409"/>
    <w:rsid w:val="000E4011"/>
    <w:rsid w:val="000E64D8"/>
    <w:rsid w:val="00115ECD"/>
    <w:rsid w:val="001227CB"/>
    <w:rsid w:val="00123726"/>
    <w:rsid w:val="00130F00"/>
    <w:rsid w:val="001352E9"/>
    <w:rsid w:val="00162D30"/>
    <w:rsid w:val="00175D60"/>
    <w:rsid w:val="001A164A"/>
    <w:rsid w:val="001B775A"/>
    <w:rsid w:val="001B7DEC"/>
    <w:rsid w:val="001C4A09"/>
    <w:rsid w:val="001C5B05"/>
    <w:rsid w:val="00213D56"/>
    <w:rsid w:val="00225892"/>
    <w:rsid w:val="00252DE8"/>
    <w:rsid w:val="00263D38"/>
    <w:rsid w:val="002A1BA1"/>
    <w:rsid w:val="002A4AC1"/>
    <w:rsid w:val="002B0ACD"/>
    <w:rsid w:val="002C30ED"/>
    <w:rsid w:val="002C60BB"/>
    <w:rsid w:val="0030556E"/>
    <w:rsid w:val="0033645F"/>
    <w:rsid w:val="00341ED4"/>
    <w:rsid w:val="00344CA1"/>
    <w:rsid w:val="00357AE9"/>
    <w:rsid w:val="00375C9B"/>
    <w:rsid w:val="00382B25"/>
    <w:rsid w:val="003903C3"/>
    <w:rsid w:val="003A7D43"/>
    <w:rsid w:val="003B1D95"/>
    <w:rsid w:val="003B49AA"/>
    <w:rsid w:val="003B5DA6"/>
    <w:rsid w:val="003C1DAD"/>
    <w:rsid w:val="003C2D48"/>
    <w:rsid w:val="003D28EF"/>
    <w:rsid w:val="004040E1"/>
    <w:rsid w:val="00426470"/>
    <w:rsid w:val="004553B4"/>
    <w:rsid w:val="0048583B"/>
    <w:rsid w:val="00492992"/>
    <w:rsid w:val="004A7649"/>
    <w:rsid w:val="004B6873"/>
    <w:rsid w:val="004D47A7"/>
    <w:rsid w:val="004E553B"/>
    <w:rsid w:val="005103D6"/>
    <w:rsid w:val="00514046"/>
    <w:rsid w:val="00532839"/>
    <w:rsid w:val="00544F1F"/>
    <w:rsid w:val="00562223"/>
    <w:rsid w:val="00583612"/>
    <w:rsid w:val="005B67CB"/>
    <w:rsid w:val="005D6844"/>
    <w:rsid w:val="005F1905"/>
    <w:rsid w:val="0063228A"/>
    <w:rsid w:val="00632574"/>
    <w:rsid w:val="00671A73"/>
    <w:rsid w:val="0068613F"/>
    <w:rsid w:val="0068625C"/>
    <w:rsid w:val="006B3A35"/>
    <w:rsid w:val="006B6BC4"/>
    <w:rsid w:val="006E442B"/>
    <w:rsid w:val="006F026B"/>
    <w:rsid w:val="00716457"/>
    <w:rsid w:val="00716E79"/>
    <w:rsid w:val="007234D4"/>
    <w:rsid w:val="00744727"/>
    <w:rsid w:val="0076719E"/>
    <w:rsid w:val="00782540"/>
    <w:rsid w:val="00783D3B"/>
    <w:rsid w:val="007C783B"/>
    <w:rsid w:val="007F2B7F"/>
    <w:rsid w:val="00802795"/>
    <w:rsid w:val="00806224"/>
    <w:rsid w:val="00843BDA"/>
    <w:rsid w:val="00853AC5"/>
    <w:rsid w:val="00881159"/>
    <w:rsid w:val="008A1489"/>
    <w:rsid w:val="008A2F21"/>
    <w:rsid w:val="008C0D8F"/>
    <w:rsid w:val="008F3212"/>
    <w:rsid w:val="00936466"/>
    <w:rsid w:val="009738D5"/>
    <w:rsid w:val="0098171C"/>
    <w:rsid w:val="009B2624"/>
    <w:rsid w:val="009E4E32"/>
    <w:rsid w:val="00A528A6"/>
    <w:rsid w:val="00A644A7"/>
    <w:rsid w:val="00A668D6"/>
    <w:rsid w:val="00A71DAD"/>
    <w:rsid w:val="00A76B8B"/>
    <w:rsid w:val="00A92EAB"/>
    <w:rsid w:val="00AB03F2"/>
    <w:rsid w:val="00AF0939"/>
    <w:rsid w:val="00AF7478"/>
    <w:rsid w:val="00B233C8"/>
    <w:rsid w:val="00B5582B"/>
    <w:rsid w:val="00B66C7C"/>
    <w:rsid w:val="00B779C8"/>
    <w:rsid w:val="00B9144D"/>
    <w:rsid w:val="00BC7273"/>
    <w:rsid w:val="00C138F8"/>
    <w:rsid w:val="00C2259E"/>
    <w:rsid w:val="00C23D30"/>
    <w:rsid w:val="00C26F19"/>
    <w:rsid w:val="00C46076"/>
    <w:rsid w:val="00C679BC"/>
    <w:rsid w:val="00C72F70"/>
    <w:rsid w:val="00C76181"/>
    <w:rsid w:val="00C7691C"/>
    <w:rsid w:val="00C809A1"/>
    <w:rsid w:val="00C809A9"/>
    <w:rsid w:val="00C9367C"/>
    <w:rsid w:val="00CA0357"/>
    <w:rsid w:val="00CC1BA4"/>
    <w:rsid w:val="00CC2DDB"/>
    <w:rsid w:val="00CD62C2"/>
    <w:rsid w:val="00CD73CD"/>
    <w:rsid w:val="00CE0F98"/>
    <w:rsid w:val="00CE7059"/>
    <w:rsid w:val="00D02A90"/>
    <w:rsid w:val="00D1139D"/>
    <w:rsid w:val="00D2196B"/>
    <w:rsid w:val="00D269B6"/>
    <w:rsid w:val="00D41208"/>
    <w:rsid w:val="00D6136D"/>
    <w:rsid w:val="00D67827"/>
    <w:rsid w:val="00DA14BB"/>
    <w:rsid w:val="00DA7D6A"/>
    <w:rsid w:val="00DE2CF5"/>
    <w:rsid w:val="00DE7A2E"/>
    <w:rsid w:val="00E67A45"/>
    <w:rsid w:val="00E733AA"/>
    <w:rsid w:val="00EB75DD"/>
    <w:rsid w:val="00EB767C"/>
    <w:rsid w:val="00EC488D"/>
    <w:rsid w:val="00F30331"/>
    <w:rsid w:val="00F474B7"/>
    <w:rsid w:val="00F47FB4"/>
    <w:rsid w:val="00F652A1"/>
    <w:rsid w:val="00F97543"/>
    <w:rsid w:val="00FC4A20"/>
    <w:rsid w:val="00FF280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C994E"/>
  <w15:chartTrackingRefBased/>
  <w15:docId w15:val="{AAB08DB9-CBE2-FC4C-9058-FE5D604CB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A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14B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C05AB"/>
    <w:pPr>
      <w:ind w:left="720"/>
      <w:contextualSpacing/>
    </w:pPr>
  </w:style>
  <w:style w:type="paragraph" w:styleId="Encabezado">
    <w:name w:val="header"/>
    <w:basedOn w:val="Normal"/>
    <w:link w:val="EncabezadoCar"/>
    <w:uiPriority w:val="99"/>
    <w:unhideWhenUsed/>
    <w:rsid w:val="000E4011"/>
    <w:pPr>
      <w:tabs>
        <w:tab w:val="center" w:pos="4419"/>
        <w:tab w:val="right" w:pos="8838"/>
      </w:tabs>
    </w:pPr>
  </w:style>
  <w:style w:type="character" w:customStyle="1" w:styleId="EncabezadoCar">
    <w:name w:val="Encabezado Car"/>
    <w:basedOn w:val="Fuentedeprrafopredeter"/>
    <w:link w:val="Encabezado"/>
    <w:uiPriority w:val="99"/>
    <w:rsid w:val="000E4011"/>
  </w:style>
  <w:style w:type="paragraph" w:styleId="Piedepgina">
    <w:name w:val="footer"/>
    <w:basedOn w:val="Normal"/>
    <w:link w:val="PiedepginaCar"/>
    <w:uiPriority w:val="99"/>
    <w:unhideWhenUsed/>
    <w:rsid w:val="000E4011"/>
    <w:pPr>
      <w:tabs>
        <w:tab w:val="center" w:pos="4419"/>
        <w:tab w:val="right" w:pos="8838"/>
      </w:tabs>
    </w:pPr>
  </w:style>
  <w:style w:type="character" w:customStyle="1" w:styleId="PiedepginaCar">
    <w:name w:val="Pie de página Car"/>
    <w:basedOn w:val="Fuentedeprrafopredeter"/>
    <w:link w:val="Piedepgina"/>
    <w:uiPriority w:val="99"/>
    <w:rsid w:val="000E4011"/>
  </w:style>
  <w:style w:type="character" w:styleId="Nmerodepgina">
    <w:name w:val="page number"/>
    <w:basedOn w:val="Fuentedeprrafopredeter"/>
    <w:uiPriority w:val="99"/>
    <w:semiHidden/>
    <w:unhideWhenUsed/>
    <w:rsid w:val="000E40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94044">
      <w:bodyDiv w:val="1"/>
      <w:marLeft w:val="0"/>
      <w:marRight w:val="0"/>
      <w:marTop w:val="0"/>
      <w:marBottom w:val="0"/>
      <w:divBdr>
        <w:top w:val="none" w:sz="0" w:space="0" w:color="auto"/>
        <w:left w:val="none" w:sz="0" w:space="0" w:color="auto"/>
        <w:bottom w:val="none" w:sz="0" w:space="0" w:color="auto"/>
        <w:right w:val="none" w:sz="0" w:space="0" w:color="auto"/>
      </w:divBdr>
    </w:div>
    <w:div w:id="61159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1460</Words>
  <Characters>7391</Characters>
  <Application>Microsoft Office Word</Application>
  <DocSecurity>0</DocSecurity>
  <Lines>211</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Francisco Reyes</dc:creator>
  <cp:keywords/>
  <dc:description/>
  <cp:lastModifiedBy>Gustavo Grinberg</cp:lastModifiedBy>
  <cp:revision>3</cp:revision>
  <dcterms:created xsi:type="dcterms:W3CDTF">2024-04-29T13:00:00Z</dcterms:created>
  <dcterms:modified xsi:type="dcterms:W3CDTF">2024-04-29T13:03:00Z</dcterms:modified>
</cp:coreProperties>
</file>